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62A9C" w14:textId="73D6580C" w:rsidR="009E1439" w:rsidRDefault="009E1439" w:rsidP="00A83197">
      <w:pPr>
        <w:ind w:right="-1573"/>
        <w:jc w:val="both"/>
        <w:textAlignment w:val="baseline"/>
        <w:rPr>
          <w:rFonts w:eastAsia="Tahoma"/>
          <w:b/>
          <w:color w:val="000000"/>
          <w:spacing w:val="-1"/>
          <w:sz w:val="24"/>
          <w:szCs w:val="24"/>
          <w:lang w:val="it-IT"/>
        </w:rPr>
      </w:pPr>
    </w:p>
    <w:p w14:paraId="060ED671" w14:textId="53A8D4C6" w:rsidR="00D356F2" w:rsidRPr="004D2198" w:rsidRDefault="007D5B80" w:rsidP="00A83197">
      <w:pPr>
        <w:ind w:right="-1573"/>
        <w:jc w:val="both"/>
        <w:textAlignment w:val="baseline"/>
        <w:rPr>
          <w:rFonts w:eastAsia="Tahoma"/>
          <w:b/>
          <w:color w:val="000000"/>
          <w:spacing w:val="-1"/>
          <w:sz w:val="24"/>
          <w:szCs w:val="24"/>
          <w:lang w:val="it-IT"/>
        </w:rPr>
      </w:pPr>
      <w:r w:rsidRPr="004D2198">
        <w:rPr>
          <w:rFonts w:eastAsia="Tahoma"/>
          <w:b/>
          <w:color w:val="000000"/>
          <w:spacing w:val="-1"/>
          <w:sz w:val="24"/>
          <w:szCs w:val="24"/>
          <w:lang w:val="it-IT"/>
        </w:rPr>
        <w:t>PREMESSO:</w:t>
      </w:r>
    </w:p>
    <w:p w14:paraId="0EF788CC" w14:textId="77777777" w:rsidR="009E1439" w:rsidRPr="004D2198" w:rsidRDefault="009E1439" w:rsidP="00A83197">
      <w:pPr>
        <w:ind w:right="-1573"/>
        <w:jc w:val="both"/>
        <w:textAlignment w:val="baseline"/>
        <w:rPr>
          <w:rFonts w:eastAsia="Tahoma"/>
          <w:b/>
          <w:color w:val="000000"/>
          <w:spacing w:val="-1"/>
          <w:sz w:val="24"/>
          <w:szCs w:val="24"/>
          <w:lang w:val="it-IT"/>
        </w:rPr>
      </w:pPr>
    </w:p>
    <w:p w14:paraId="02456ACC" w14:textId="6FB0046E" w:rsidR="00D356F2" w:rsidRPr="004D2198" w:rsidRDefault="007D5B80" w:rsidP="00A83197">
      <w:pPr>
        <w:ind w:right="-1573"/>
        <w:jc w:val="both"/>
        <w:textAlignment w:val="baseline"/>
        <w:rPr>
          <w:rFonts w:eastAsia="Tahoma"/>
          <w:b/>
          <w:color w:val="000000"/>
          <w:spacing w:val="9"/>
          <w:sz w:val="24"/>
          <w:szCs w:val="24"/>
          <w:lang w:val="it-IT"/>
        </w:rPr>
      </w:pPr>
      <w:r w:rsidRPr="004D2198">
        <w:rPr>
          <w:rFonts w:eastAsia="Tahoma"/>
          <w:color w:val="000000"/>
          <w:spacing w:val="9"/>
          <w:sz w:val="24"/>
          <w:szCs w:val="24"/>
          <w:lang w:val="it-IT"/>
        </w:rPr>
        <w:t xml:space="preserve">Che la Legge 27 </w:t>
      </w:r>
      <w:r w:rsidR="00150DA2">
        <w:rPr>
          <w:rFonts w:eastAsia="Tahoma"/>
          <w:color w:val="000000"/>
          <w:spacing w:val="9"/>
          <w:sz w:val="24"/>
          <w:szCs w:val="24"/>
          <w:lang w:val="it-IT"/>
        </w:rPr>
        <w:t>D</w:t>
      </w:r>
      <w:r w:rsidRPr="004D2198">
        <w:rPr>
          <w:rFonts w:eastAsia="Tahoma"/>
          <w:color w:val="000000"/>
          <w:spacing w:val="9"/>
          <w:sz w:val="24"/>
          <w:szCs w:val="24"/>
          <w:lang w:val="it-IT"/>
        </w:rPr>
        <w:t xml:space="preserve">icembre 2019, n. 160 Bilancio di previsione dello Stato per l'anno finanziario 2020 ha stanziato </w:t>
      </w:r>
      <w:r w:rsidRPr="004D2198">
        <w:rPr>
          <w:rFonts w:eastAsia="Tahoma"/>
          <w:b/>
          <w:color w:val="000000"/>
          <w:spacing w:val="9"/>
          <w:sz w:val="24"/>
          <w:szCs w:val="24"/>
          <w:lang w:val="it-IT"/>
        </w:rPr>
        <w:t xml:space="preserve">due fondi </w:t>
      </w:r>
      <w:r w:rsidRPr="004D2198">
        <w:rPr>
          <w:rFonts w:eastAsia="Tahoma"/>
          <w:color w:val="000000"/>
          <w:spacing w:val="9"/>
          <w:sz w:val="24"/>
          <w:szCs w:val="24"/>
          <w:lang w:val="it-IT"/>
        </w:rPr>
        <w:t xml:space="preserve">destinati agli Enti Locali per finanziare interventi relativi alla </w:t>
      </w:r>
      <w:r w:rsidRPr="004D2198">
        <w:rPr>
          <w:rFonts w:eastAsia="Tahoma"/>
          <w:b/>
          <w:color w:val="000000"/>
          <w:spacing w:val="9"/>
          <w:sz w:val="24"/>
          <w:szCs w:val="24"/>
          <w:lang w:val="it-IT"/>
        </w:rPr>
        <w:t>rigenerazione urbana:</w:t>
      </w:r>
    </w:p>
    <w:p w14:paraId="604DC8F8" w14:textId="77777777" w:rsidR="009E1439" w:rsidRPr="004D2198" w:rsidRDefault="009E1439" w:rsidP="00A83197">
      <w:pPr>
        <w:ind w:right="-1573"/>
        <w:jc w:val="both"/>
        <w:textAlignment w:val="baseline"/>
        <w:rPr>
          <w:rFonts w:eastAsia="Tahoma"/>
          <w:color w:val="000000"/>
          <w:spacing w:val="9"/>
          <w:sz w:val="24"/>
          <w:szCs w:val="24"/>
          <w:lang w:val="it-IT"/>
        </w:rPr>
      </w:pPr>
    </w:p>
    <w:p w14:paraId="3C1EBAFF" w14:textId="0ABFE1CF" w:rsidR="00D356F2" w:rsidRPr="004D2198" w:rsidRDefault="007D5B80" w:rsidP="00A83197">
      <w:pPr>
        <w:ind w:right="-1573"/>
        <w:jc w:val="both"/>
        <w:textAlignment w:val="baseline"/>
        <w:rPr>
          <w:rFonts w:eastAsia="Tahoma"/>
          <w:b/>
          <w:color w:val="000000"/>
          <w:spacing w:val="5"/>
          <w:sz w:val="24"/>
          <w:szCs w:val="24"/>
          <w:lang w:val="it-IT"/>
        </w:rPr>
      </w:pPr>
      <w:r w:rsidRPr="004D2198">
        <w:rPr>
          <w:rFonts w:eastAsia="Tahoma"/>
          <w:b/>
          <w:color w:val="000000"/>
          <w:spacing w:val="5"/>
          <w:sz w:val="24"/>
          <w:szCs w:val="24"/>
          <w:lang w:val="it-IT"/>
        </w:rPr>
        <w:t xml:space="preserve">Il primo fondo </w:t>
      </w:r>
      <w:r w:rsidRPr="004D2198">
        <w:rPr>
          <w:rFonts w:eastAsia="Tahoma"/>
          <w:color w:val="000000"/>
          <w:spacing w:val="5"/>
          <w:sz w:val="24"/>
          <w:szCs w:val="24"/>
          <w:lang w:val="it-IT"/>
        </w:rPr>
        <w:t xml:space="preserve">fa riferimento al </w:t>
      </w:r>
      <w:r w:rsidRPr="004D2198">
        <w:rPr>
          <w:rFonts w:eastAsia="Arial"/>
          <w:i/>
          <w:color w:val="000000"/>
          <w:spacing w:val="5"/>
          <w:sz w:val="24"/>
          <w:szCs w:val="24"/>
          <w:lang w:val="it-IT"/>
        </w:rPr>
        <w:t xml:space="preserve">"Programma innovativo nazionale per la qualità dell'abitare", </w:t>
      </w:r>
      <w:r w:rsidRPr="004D2198">
        <w:rPr>
          <w:rFonts w:eastAsia="Tahoma"/>
          <w:color w:val="000000"/>
          <w:spacing w:val="5"/>
          <w:sz w:val="24"/>
          <w:szCs w:val="24"/>
          <w:lang w:val="it-IT"/>
        </w:rPr>
        <w:t>previsto dall'a</w:t>
      </w:r>
      <w:r w:rsidR="009E1439" w:rsidRPr="004D2198">
        <w:rPr>
          <w:rFonts w:eastAsia="Tahoma"/>
          <w:color w:val="000000"/>
          <w:spacing w:val="5"/>
          <w:sz w:val="24"/>
          <w:szCs w:val="24"/>
          <w:lang w:val="it-IT"/>
        </w:rPr>
        <w:t>rt.</w:t>
      </w:r>
      <w:r w:rsidRPr="004D2198">
        <w:rPr>
          <w:rFonts w:eastAsia="Tahoma"/>
          <w:color w:val="000000"/>
          <w:spacing w:val="5"/>
          <w:sz w:val="24"/>
          <w:szCs w:val="24"/>
          <w:lang w:val="it-IT"/>
        </w:rPr>
        <w:t xml:space="preserve"> 1, commi 437 e segg. della Legge ha una dotazione di </w:t>
      </w:r>
      <w:r w:rsidRPr="004D2198">
        <w:rPr>
          <w:rFonts w:eastAsia="Tahoma"/>
          <w:b/>
          <w:color w:val="000000"/>
          <w:spacing w:val="5"/>
          <w:sz w:val="24"/>
          <w:szCs w:val="24"/>
          <w:lang w:val="it-IT"/>
        </w:rPr>
        <w:t xml:space="preserve">853,81 milioni </w:t>
      </w:r>
      <w:r w:rsidRPr="004D2198">
        <w:rPr>
          <w:rFonts w:eastAsia="Tahoma"/>
          <w:color w:val="000000"/>
          <w:spacing w:val="5"/>
          <w:sz w:val="24"/>
          <w:szCs w:val="24"/>
          <w:lang w:val="it-IT"/>
        </w:rPr>
        <w:t xml:space="preserve">di euro e riservato ad una </w:t>
      </w:r>
      <w:r w:rsidRPr="004D2198">
        <w:rPr>
          <w:rFonts w:eastAsia="Tahoma"/>
          <w:b/>
          <w:color w:val="000000"/>
          <w:spacing w:val="5"/>
          <w:sz w:val="24"/>
          <w:szCs w:val="24"/>
          <w:lang w:val="it-IT"/>
        </w:rPr>
        <w:t xml:space="preserve">platea ristretta di beneficiari: </w:t>
      </w:r>
      <w:r w:rsidRPr="004D2198">
        <w:rPr>
          <w:rFonts w:eastAsia="Tahoma"/>
          <w:color w:val="000000"/>
          <w:spacing w:val="5"/>
          <w:sz w:val="24"/>
          <w:szCs w:val="24"/>
          <w:lang w:val="it-IT"/>
        </w:rPr>
        <w:t xml:space="preserve">le </w:t>
      </w:r>
      <w:r w:rsidR="00150DA2">
        <w:rPr>
          <w:rFonts w:eastAsia="Tahoma"/>
          <w:color w:val="000000"/>
          <w:spacing w:val="5"/>
          <w:sz w:val="24"/>
          <w:szCs w:val="24"/>
          <w:lang w:val="it-IT"/>
        </w:rPr>
        <w:t>R</w:t>
      </w:r>
      <w:r w:rsidRPr="004D2198">
        <w:rPr>
          <w:rFonts w:eastAsia="Tahoma"/>
          <w:color w:val="000000"/>
          <w:spacing w:val="5"/>
          <w:sz w:val="24"/>
          <w:szCs w:val="24"/>
          <w:lang w:val="it-IT"/>
        </w:rPr>
        <w:t xml:space="preserve">egioni, le </w:t>
      </w:r>
      <w:r w:rsidR="00150DA2">
        <w:rPr>
          <w:rFonts w:eastAsia="Tahoma"/>
          <w:color w:val="000000"/>
          <w:spacing w:val="5"/>
          <w:sz w:val="24"/>
          <w:szCs w:val="24"/>
          <w:lang w:val="it-IT"/>
        </w:rPr>
        <w:t>C</w:t>
      </w:r>
      <w:r w:rsidRPr="004D2198">
        <w:rPr>
          <w:rFonts w:eastAsia="Tahoma"/>
          <w:color w:val="000000"/>
          <w:spacing w:val="5"/>
          <w:sz w:val="24"/>
          <w:szCs w:val="24"/>
          <w:lang w:val="it-IT"/>
        </w:rPr>
        <w:t xml:space="preserve">ittà </w:t>
      </w:r>
      <w:r w:rsidR="00150DA2">
        <w:rPr>
          <w:rFonts w:eastAsia="Tahoma"/>
          <w:color w:val="000000"/>
          <w:spacing w:val="5"/>
          <w:sz w:val="24"/>
          <w:szCs w:val="24"/>
          <w:lang w:val="it-IT"/>
        </w:rPr>
        <w:t>M</w:t>
      </w:r>
      <w:r w:rsidRPr="004D2198">
        <w:rPr>
          <w:rFonts w:eastAsia="Tahoma"/>
          <w:color w:val="000000"/>
          <w:spacing w:val="5"/>
          <w:sz w:val="24"/>
          <w:szCs w:val="24"/>
          <w:lang w:val="it-IT"/>
        </w:rPr>
        <w:t xml:space="preserve">etropolitane, i </w:t>
      </w:r>
      <w:r w:rsidR="00150DA2">
        <w:rPr>
          <w:rFonts w:eastAsia="Tahoma"/>
          <w:color w:val="000000"/>
          <w:spacing w:val="5"/>
          <w:sz w:val="24"/>
          <w:szCs w:val="24"/>
          <w:lang w:val="it-IT"/>
        </w:rPr>
        <w:t>C</w:t>
      </w:r>
      <w:r w:rsidRPr="004D2198">
        <w:rPr>
          <w:rFonts w:eastAsia="Tahoma"/>
          <w:color w:val="000000"/>
          <w:spacing w:val="5"/>
          <w:sz w:val="24"/>
          <w:szCs w:val="24"/>
          <w:lang w:val="it-IT"/>
        </w:rPr>
        <w:t xml:space="preserve">omuni </w:t>
      </w:r>
      <w:r w:rsidR="00150DA2">
        <w:rPr>
          <w:rFonts w:eastAsia="Tahoma"/>
          <w:color w:val="000000"/>
          <w:spacing w:val="5"/>
          <w:sz w:val="24"/>
          <w:szCs w:val="24"/>
          <w:lang w:val="it-IT"/>
        </w:rPr>
        <w:t>C</w:t>
      </w:r>
      <w:r w:rsidRPr="004D2198">
        <w:rPr>
          <w:rFonts w:eastAsia="Tahoma"/>
          <w:color w:val="000000"/>
          <w:spacing w:val="5"/>
          <w:sz w:val="24"/>
          <w:szCs w:val="24"/>
          <w:lang w:val="it-IT"/>
        </w:rPr>
        <w:t xml:space="preserve">apoluoghi di </w:t>
      </w:r>
      <w:r w:rsidR="00150DA2">
        <w:rPr>
          <w:rFonts w:eastAsia="Tahoma"/>
          <w:color w:val="000000"/>
          <w:spacing w:val="5"/>
          <w:sz w:val="24"/>
          <w:szCs w:val="24"/>
          <w:lang w:val="it-IT"/>
        </w:rPr>
        <w:t>P</w:t>
      </w:r>
      <w:r w:rsidRPr="004D2198">
        <w:rPr>
          <w:rFonts w:eastAsia="Tahoma"/>
          <w:color w:val="000000"/>
          <w:spacing w:val="5"/>
          <w:sz w:val="24"/>
          <w:szCs w:val="24"/>
          <w:lang w:val="it-IT"/>
        </w:rPr>
        <w:t xml:space="preserve">rovincia, la </w:t>
      </w:r>
      <w:r w:rsidR="00150DA2">
        <w:rPr>
          <w:rFonts w:eastAsia="Tahoma"/>
          <w:color w:val="000000"/>
          <w:spacing w:val="5"/>
          <w:sz w:val="24"/>
          <w:szCs w:val="24"/>
          <w:lang w:val="it-IT"/>
        </w:rPr>
        <w:t>C</w:t>
      </w:r>
      <w:r w:rsidRPr="004D2198">
        <w:rPr>
          <w:rFonts w:eastAsia="Tahoma"/>
          <w:color w:val="000000"/>
          <w:spacing w:val="5"/>
          <w:sz w:val="24"/>
          <w:szCs w:val="24"/>
          <w:lang w:val="it-IT"/>
        </w:rPr>
        <w:t xml:space="preserve">ittà di Aosta e i </w:t>
      </w:r>
      <w:r w:rsidR="00150DA2">
        <w:rPr>
          <w:rFonts w:eastAsia="Tahoma"/>
          <w:color w:val="000000"/>
          <w:spacing w:val="5"/>
          <w:sz w:val="24"/>
          <w:szCs w:val="24"/>
          <w:lang w:val="it-IT"/>
        </w:rPr>
        <w:t>C</w:t>
      </w:r>
      <w:r w:rsidRPr="004D2198">
        <w:rPr>
          <w:rFonts w:eastAsia="Tahoma"/>
          <w:color w:val="000000"/>
          <w:spacing w:val="5"/>
          <w:sz w:val="24"/>
          <w:szCs w:val="24"/>
          <w:lang w:val="it-IT"/>
        </w:rPr>
        <w:t xml:space="preserve">omuni con più di 60.000 abitanti. Le modalità di accesso al fondo sono state disciplinate dal Decreto 16 </w:t>
      </w:r>
      <w:r w:rsidR="00150DA2">
        <w:rPr>
          <w:rFonts w:eastAsia="Tahoma"/>
          <w:color w:val="000000"/>
          <w:spacing w:val="5"/>
          <w:sz w:val="24"/>
          <w:szCs w:val="24"/>
          <w:lang w:val="it-IT"/>
        </w:rPr>
        <w:t>S</w:t>
      </w:r>
      <w:r w:rsidRPr="004D2198">
        <w:rPr>
          <w:rFonts w:eastAsia="Tahoma"/>
          <w:color w:val="000000"/>
          <w:spacing w:val="5"/>
          <w:sz w:val="24"/>
          <w:szCs w:val="24"/>
          <w:lang w:val="it-IT"/>
        </w:rPr>
        <w:t>ettembre 2020, nel rispetto dell'intera platea di beneficiari così come prevista dal legislatore nella Legge 160/2019;</w:t>
      </w:r>
    </w:p>
    <w:p w14:paraId="7DD43619" w14:textId="77777777" w:rsidR="00246F66" w:rsidRDefault="00246F66" w:rsidP="00A83197">
      <w:pPr>
        <w:ind w:right="-1573"/>
        <w:jc w:val="both"/>
        <w:textAlignment w:val="baseline"/>
        <w:rPr>
          <w:rFonts w:eastAsia="Tahoma"/>
          <w:b/>
          <w:color w:val="000000"/>
          <w:spacing w:val="8"/>
          <w:sz w:val="24"/>
          <w:szCs w:val="24"/>
          <w:lang w:val="it-IT"/>
        </w:rPr>
      </w:pPr>
    </w:p>
    <w:p w14:paraId="4E6A1C16" w14:textId="75BFC859" w:rsidR="00D356F2" w:rsidRPr="004D2198" w:rsidRDefault="007D5B80" w:rsidP="00A83197">
      <w:pPr>
        <w:ind w:right="-1573"/>
        <w:jc w:val="both"/>
        <w:textAlignment w:val="baseline"/>
        <w:rPr>
          <w:rFonts w:eastAsia="Tahoma"/>
          <w:b/>
          <w:color w:val="000000"/>
          <w:spacing w:val="8"/>
          <w:sz w:val="24"/>
          <w:szCs w:val="24"/>
          <w:lang w:val="it-IT"/>
        </w:rPr>
      </w:pPr>
      <w:r w:rsidRPr="004D2198">
        <w:rPr>
          <w:rFonts w:eastAsia="Tahoma"/>
          <w:b/>
          <w:color w:val="000000"/>
          <w:spacing w:val="8"/>
          <w:sz w:val="24"/>
          <w:szCs w:val="24"/>
          <w:lang w:val="it-IT"/>
        </w:rPr>
        <w:t xml:space="preserve">Il secondo fondo, </w:t>
      </w:r>
      <w:r w:rsidRPr="004D2198">
        <w:rPr>
          <w:rFonts w:eastAsia="Tahoma"/>
          <w:color w:val="000000"/>
          <w:spacing w:val="8"/>
          <w:sz w:val="24"/>
          <w:szCs w:val="24"/>
          <w:lang w:val="it-IT"/>
        </w:rPr>
        <w:t xml:space="preserve">destinato a investimenti in progetti di rigenerazione urbana per la riduzione di fenomeni di marginalizzazione e degrado sociale mette a disposizione un budget 10 volte più grande cioè </w:t>
      </w:r>
      <w:r w:rsidRPr="004D2198">
        <w:rPr>
          <w:rFonts w:eastAsia="Tahoma"/>
          <w:b/>
          <w:color w:val="000000"/>
          <w:spacing w:val="8"/>
          <w:sz w:val="24"/>
          <w:szCs w:val="24"/>
          <w:lang w:val="it-IT"/>
        </w:rPr>
        <w:t xml:space="preserve">8,5 miliardi </w:t>
      </w:r>
      <w:r w:rsidRPr="004D2198">
        <w:rPr>
          <w:rFonts w:eastAsia="Tahoma"/>
          <w:color w:val="000000"/>
          <w:spacing w:val="8"/>
          <w:sz w:val="24"/>
          <w:szCs w:val="24"/>
          <w:lang w:val="it-IT"/>
        </w:rPr>
        <w:t xml:space="preserve">di euro e per questo è stato rivolto dal legislatore ad </w:t>
      </w:r>
      <w:r w:rsidRPr="004D2198">
        <w:rPr>
          <w:rFonts w:eastAsia="Tahoma"/>
          <w:b/>
          <w:color w:val="000000"/>
          <w:spacing w:val="8"/>
          <w:sz w:val="24"/>
          <w:szCs w:val="24"/>
          <w:lang w:val="it-IT"/>
        </w:rPr>
        <w:t xml:space="preserve">una platea di beneficiari più vasta: </w:t>
      </w:r>
      <w:r w:rsidRPr="004D2198">
        <w:rPr>
          <w:rFonts w:eastAsia="Tahoma"/>
          <w:color w:val="000000"/>
          <w:spacing w:val="8"/>
          <w:sz w:val="24"/>
          <w:szCs w:val="24"/>
          <w:lang w:val="it-IT"/>
        </w:rPr>
        <w:t>cioè tutti i 7904</w:t>
      </w:r>
      <w:r w:rsidR="00990771" w:rsidRPr="004D2198">
        <w:rPr>
          <w:rFonts w:eastAsia="Tahoma"/>
          <w:b/>
          <w:color w:val="000000"/>
          <w:spacing w:val="8"/>
          <w:sz w:val="24"/>
          <w:szCs w:val="24"/>
          <w:lang w:val="it-IT"/>
        </w:rPr>
        <w:t xml:space="preserve"> </w:t>
      </w:r>
      <w:r w:rsidR="00150DA2">
        <w:rPr>
          <w:rFonts w:eastAsia="Tahoma"/>
          <w:b/>
          <w:color w:val="000000"/>
          <w:spacing w:val="8"/>
          <w:sz w:val="24"/>
          <w:szCs w:val="24"/>
          <w:lang w:val="it-IT"/>
        </w:rPr>
        <w:t>C</w:t>
      </w:r>
      <w:r w:rsidRPr="004D2198">
        <w:rPr>
          <w:rFonts w:eastAsia="Tahoma"/>
          <w:color w:val="000000"/>
          <w:spacing w:val="8"/>
          <w:sz w:val="24"/>
          <w:szCs w:val="24"/>
          <w:lang w:val="it-IT"/>
        </w:rPr>
        <w:t>omuni italiani, nessuno escluso. La legge 160/2019 dispone le caratteristiche del programma nei commi seguenti:</w:t>
      </w:r>
    </w:p>
    <w:p w14:paraId="2B68A945" w14:textId="77777777" w:rsidR="00246F66" w:rsidRDefault="00246F66" w:rsidP="00246F66">
      <w:pPr>
        <w:pStyle w:val="Paragrafoelenco"/>
        <w:tabs>
          <w:tab w:val="left" w:pos="360"/>
        </w:tabs>
        <w:ind w:left="0" w:right="-1573"/>
        <w:jc w:val="both"/>
        <w:textAlignment w:val="baseline"/>
        <w:rPr>
          <w:rFonts w:eastAsia="Tahoma"/>
          <w:color w:val="000000"/>
          <w:spacing w:val="9"/>
          <w:sz w:val="24"/>
          <w:szCs w:val="24"/>
          <w:lang w:val="it-IT"/>
        </w:rPr>
      </w:pPr>
    </w:p>
    <w:p w14:paraId="57C46696" w14:textId="374C76D9" w:rsidR="00D356F2" w:rsidRDefault="007D5B80" w:rsidP="00A83197">
      <w:pPr>
        <w:pStyle w:val="Paragrafoelenco"/>
        <w:numPr>
          <w:ilvl w:val="0"/>
          <w:numId w:val="1"/>
        </w:numPr>
        <w:ind w:left="0" w:right="-1573"/>
        <w:jc w:val="both"/>
        <w:textAlignment w:val="baseline"/>
        <w:rPr>
          <w:rFonts w:eastAsia="Tahoma"/>
          <w:color w:val="000000"/>
          <w:spacing w:val="9"/>
          <w:sz w:val="24"/>
          <w:szCs w:val="24"/>
          <w:lang w:val="it-IT"/>
        </w:rPr>
      </w:pPr>
      <w:r w:rsidRPr="004D2198">
        <w:rPr>
          <w:rFonts w:eastAsia="Tahoma"/>
          <w:color w:val="000000"/>
          <w:spacing w:val="9"/>
          <w:sz w:val="24"/>
          <w:szCs w:val="24"/>
          <w:lang w:val="it-IT"/>
        </w:rPr>
        <w:t xml:space="preserve">ARTICOLO 1 COMMA 42: per ciascuno degli anni dal 2021 al 2034, </w:t>
      </w:r>
      <w:r w:rsidRPr="004D2198">
        <w:rPr>
          <w:rFonts w:eastAsia="Tahoma"/>
          <w:b/>
          <w:color w:val="000000"/>
          <w:spacing w:val="9"/>
          <w:sz w:val="24"/>
          <w:szCs w:val="24"/>
          <w:lang w:val="it-IT"/>
        </w:rPr>
        <w:t xml:space="preserve">sono assegnati </w:t>
      </w:r>
      <w:r w:rsidRPr="004D2198">
        <w:rPr>
          <w:rFonts w:eastAsia="Tahoma"/>
          <w:b/>
          <w:color w:val="000000"/>
          <w:spacing w:val="9"/>
          <w:sz w:val="24"/>
          <w:szCs w:val="24"/>
          <w:u w:val="single"/>
          <w:lang w:val="it-IT"/>
        </w:rPr>
        <w:t xml:space="preserve">ai </w:t>
      </w:r>
      <w:r w:rsidR="006E3E61">
        <w:rPr>
          <w:rFonts w:eastAsia="Tahoma"/>
          <w:b/>
          <w:color w:val="000000"/>
          <w:spacing w:val="9"/>
          <w:sz w:val="24"/>
          <w:szCs w:val="24"/>
          <w:u w:val="single"/>
          <w:lang w:val="it-IT"/>
        </w:rPr>
        <w:t>C</w:t>
      </w:r>
      <w:r w:rsidRPr="004D2198">
        <w:rPr>
          <w:rFonts w:eastAsia="Tahoma"/>
          <w:b/>
          <w:color w:val="000000"/>
          <w:spacing w:val="9"/>
          <w:sz w:val="24"/>
          <w:szCs w:val="24"/>
          <w:u w:val="single"/>
          <w:lang w:val="it-IT"/>
        </w:rPr>
        <w:t>omuni</w:t>
      </w:r>
      <w:r w:rsidRPr="004D2198">
        <w:rPr>
          <w:rFonts w:eastAsia="Tahoma"/>
          <w:b/>
          <w:color w:val="000000"/>
          <w:spacing w:val="9"/>
          <w:sz w:val="24"/>
          <w:szCs w:val="24"/>
          <w:lang w:val="it-IT"/>
        </w:rPr>
        <w:t xml:space="preserve"> contributi per investimenti in progetti di rigenerazione urbana, </w:t>
      </w:r>
      <w:r w:rsidRPr="004D2198">
        <w:rPr>
          <w:rFonts w:eastAsia="Tahoma"/>
          <w:color w:val="000000"/>
          <w:spacing w:val="9"/>
          <w:sz w:val="24"/>
          <w:szCs w:val="24"/>
          <w:lang w:val="it-IT"/>
        </w:rPr>
        <w:t>volti alla riduzione di fenomeni di marginalizzazione e degrado sociale, nonché al miglioramento della qualità del decoro urbano e del tessuto sociale ed ambientale, nel limite complessivo di 150 milioni di euro per l'anno 2021, di 250 milioni di euro per l'anno 2022, di 550 milioni di euro per ciascuno degli anni 2023 e 2024 e di 700 milioni di euro per ciascuno degli anni dal 2025 al 2034;</w:t>
      </w:r>
    </w:p>
    <w:p w14:paraId="5534D0E0" w14:textId="77777777" w:rsidR="00246F66" w:rsidRPr="004D2198" w:rsidRDefault="00246F66" w:rsidP="00246F66">
      <w:pPr>
        <w:pStyle w:val="Paragrafoelenco"/>
        <w:ind w:left="0" w:right="-1573"/>
        <w:jc w:val="both"/>
        <w:textAlignment w:val="baseline"/>
        <w:rPr>
          <w:rFonts w:eastAsia="Tahoma"/>
          <w:color w:val="000000"/>
          <w:spacing w:val="9"/>
          <w:sz w:val="24"/>
          <w:szCs w:val="24"/>
          <w:lang w:val="it-IT"/>
        </w:rPr>
      </w:pPr>
    </w:p>
    <w:p w14:paraId="24A0663B" w14:textId="4CFD336D" w:rsidR="00D356F2" w:rsidRDefault="007D5B80" w:rsidP="00A83197">
      <w:pPr>
        <w:numPr>
          <w:ilvl w:val="0"/>
          <w:numId w:val="1"/>
        </w:numPr>
        <w:ind w:right="-1573"/>
        <w:jc w:val="both"/>
        <w:textAlignment w:val="baseline"/>
        <w:rPr>
          <w:rFonts w:eastAsia="Tahoma"/>
          <w:color w:val="000000"/>
          <w:spacing w:val="9"/>
          <w:sz w:val="24"/>
          <w:szCs w:val="24"/>
          <w:lang w:val="it-IT"/>
        </w:rPr>
      </w:pPr>
      <w:r w:rsidRPr="004D2198">
        <w:rPr>
          <w:rFonts w:eastAsia="Tahoma"/>
          <w:color w:val="000000"/>
          <w:spacing w:val="9"/>
          <w:sz w:val="24"/>
          <w:szCs w:val="24"/>
          <w:lang w:val="it-IT"/>
        </w:rPr>
        <w:t xml:space="preserve">ARTICOLO 1 COMMA 43: ai fini dell'attuazione del comma 42, con decreto del Presidente del Consiglio dei </w:t>
      </w:r>
      <w:r w:rsidR="006E3E61">
        <w:rPr>
          <w:rFonts w:eastAsia="Tahoma"/>
          <w:color w:val="000000"/>
          <w:spacing w:val="9"/>
          <w:sz w:val="24"/>
          <w:szCs w:val="24"/>
          <w:lang w:val="it-IT"/>
        </w:rPr>
        <w:t>M</w:t>
      </w:r>
      <w:r w:rsidRPr="004D2198">
        <w:rPr>
          <w:rFonts w:eastAsia="Tahoma"/>
          <w:color w:val="000000"/>
          <w:spacing w:val="9"/>
          <w:sz w:val="24"/>
          <w:szCs w:val="24"/>
          <w:lang w:val="it-IT"/>
        </w:rPr>
        <w:t>inistri, di concerto con il Ministro dell'</w:t>
      </w:r>
      <w:r w:rsidR="006E3E61">
        <w:rPr>
          <w:rFonts w:eastAsia="Tahoma"/>
          <w:color w:val="000000"/>
          <w:spacing w:val="9"/>
          <w:sz w:val="24"/>
          <w:szCs w:val="24"/>
          <w:lang w:val="it-IT"/>
        </w:rPr>
        <w:t>E</w:t>
      </w:r>
      <w:r w:rsidRPr="004D2198">
        <w:rPr>
          <w:rFonts w:eastAsia="Tahoma"/>
          <w:color w:val="000000"/>
          <w:spacing w:val="9"/>
          <w:sz w:val="24"/>
          <w:szCs w:val="24"/>
          <w:lang w:val="it-IT"/>
        </w:rPr>
        <w:t xml:space="preserve">conomia e delle </w:t>
      </w:r>
      <w:r w:rsidR="006E3E61">
        <w:rPr>
          <w:rFonts w:eastAsia="Tahoma"/>
          <w:color w:val="000000"/>
          <w:spacing w:val="9"/>
          <w:sz w:val="24"/>
          <w:szCs w:val="24"/>
          <w:lang w:val="it-IT"/>
        </w:rPr>
        <w:t>F</w:t>
      </w:r>
      <w:r w:rsidRPr="004D2198">
        <w:rPr>
          <w:rFonts w:eastAsia="Tahoma"/>
          <w:color w:val="000000"/>
          <w:spacing w:val="9"/>
          <w:sz w:val="24"/>
          <w:szCs w:val="24"/>
          <w:lang w:val="it-IT"/>
        </w:rPr>
        <w:t>inanze e con il Ministro dell'</w:t>
      </w:r>
      <w:r w:rsidR="006E3E61">
        <w:rPr>
          <w:rFonts w:eastAsia="Tahoma"/>
          <w:color w:val="000000"/>
          <w:spacing w:val="9"/>
          <w:sz w:val="24"/>
          <w:szCs w:val="24"/>
          <w:lang w:val="it-IT"/>
        </w:rPr>
        <w:t>I</w:t>
      </w:r>
      <w:r w:rsidRPr="004D2198">
        <w:rPr>
          <w:rFonts w:eastAsia="Tahoma"/>
          <w:color w:val="000000"/>
          <w:spacing w:val="9"/>
          <w:sz w:val="24"/>
          <w:szCs w:val="24"/>
          <w:lang w:val="it-IT"/>
        </w:rPr>
        <w:t>nterno, previa intesa in sede di Conferenza Stato-</w:t>
      </w:r>
      <w:r w:rsidR="006E3E61">
        <w:rPr>
          <w:rFonts w:eastAsia="Tahoma"/>
          <w:color w:val="000000"/>
          <w:spacing w:val="9"/>
          <w:sz w:val="24"/>
          <w:szCs w:val="24"/>
          <w:lang w:val="it-IT"/>
        </w:rPr>
        <w:t>C</w:t>
      </w:r>
      <w:r w:rsidRPr="004D2198">
        <w:rPr>
          <w:rFonts w:eastAsia="Tahoma"/>
          <w:color w:val="000000"/>
          <w:spacing w:val="9"/>
          <w:sz w:val="24"/>
          <w:szCs w:val="24"/>
          <w:lang w:val="it-IT"/>
        </w:rPr>
        <w:t xml:space="preserve">ittà ed </w:t>
      </w:r>
      <w:r w:rsidR="006E3E61">
        <w:rPr>
          <w:rFonts w:eastAsia="Tahoma"/>
          <w:color w:val="000000"/>
          <w:spacing w:val="9"/>
          <w:sz w:val="24"/>
          <w:szCs w:val="24"/>
          <w:lang w:val="it-IT"/>
        </w:rPr>
        <w:t>A</w:t>
      </w:r>
      <w:r w:rsidRPr="004D2198">
        <w:rPr>
          <w:rFonts w:eastAsia="Tahoma"/>
          <w:color w:val="000000"/>
          <w:spacing w:val="9"/>
          <w:sz w:val="24"/>
          <w:szCs w:val="24"/>
          <w:lang w:val="it-IT"/>
        </w:rPr>
        <w:t xml:space="preserve">utonomie </w:t>
      </w:r>
      <w:r w:rsidR="006E3E61">
        <w:rPr>
          <w:rFonts w:eastAsia="Tahoma"/>
          <w:color w:val="000000"/>
          <w:spacing w:val="9"/>
          <w:sz w:val="24"/>
          <w:szCs w:val="24"/>
          <w:lang w:val="it-IT"/>
        </w:rPr>
        <w:t>L</w:t>
      </w:r>
      <w:r w:rsidRPr="004D2198">
        <w:rPr>
          <w:rFonts w:eastAsia="Tahoma"/>
          <w:color w:val="000000"/>
          <w:spacing w:val="9"/>
          <w:sz w:val="24"/>
          <w:szCs w:val="24"/>
          <w:lang w:val="it-IT"/>
        </w:rPr>
        <w:t xml:space="preserve">ocali, entro la data del 31 </w:t>
      </w:r>
      <w:r w:rsidR="006E3E61">
        <w:rPr>
          <w:rFonts w:eastAsia="Tahoma"/>
          <w:color w:val="000000"/>
          <w:spacing w:val="9"/>
          <w:sz w:val="24"/>
          <w:szCs w:val="24"/>
          <w:lang w:val="it-IT"/>
        </w:rPr>
        <w:t>G</w:t>
      </w:r>
      <w:r w:rsidRPr="004D2198">
        <w:rPr>
          <w:rFonts w:eastAsia="Tahoma"/>
          <w:color w:val="000000"/>
          <w:spacing w:val="9"/>
          <w:sz w:val="24"/>
          <w:szCs w:val="24"/>
          <w:lang w:val="it-IT"/>
        </w:rPr>
        <w:t xml:space="preserve">ennaio 2020, sono individuati i criteri e le modalità di riparto, ivi incluse le modalità di utilizzo dei ribassi d'asta, di monitoraggio, anche in termini di effettivo utilizzo delle risorse assegnate e comunque tramite il sistema di cui al decreto legislativo 29 </w:t>
      </w:r>
      <w:r w:rsidR="006E3E61">
        <w:rPr>
          <w:rFonts w:eastAsia="Tahoma"/>
          <w:color w:val="000000"/>
          <w:spacing w:val="9"/>
          <w:sz w:val="24"/>
          <w:szCs w:val="24"/>
          <w:lang w:val="it-IT"/>
        </w:rPr>
        <w:t>D</w:t>
      </w:r>
      <w:r w:rsidRPr="004D2198">
        <w:rPr>
          <w:rFonts w:eastAsia="Tahoma"/>
          <w:color w:val="000000"/>
          <w:spacing w:val="9"/>
          <w:sz w:val="24"/>
          <w:szCs w:val="24"/>
          <w:lang w:val="it-IT"/>
        </w:rPr>
        <w:t>icembre 2011, n. 229, di rendicontazione e di verifica, nonché le modalità di recupero ed eventuale riassegnazione delle somme non utilizzate. Gli importi per ciascun beneficiario sono individuati con decreto del Ministero dell'</w:t>
      </w:r>
      <w:r w:rsidR="006E3E61">
        <w:rPr>
          <w:rFonts w:eastAsia="Tahoma"/>
          <w:color w:val="000000"/>
          <w:spacing w:val="9"/>
          <w:sz w:val="24"/>
          <w:szCs w:val="24"/>
          <w:lang w:val="it-IT"/>
        </w:rPr>
        <w:t>I</w:t>
      </w:r>
      <w:r w:rsidRPr="004D2198">
        <w:rPr>
          <w:rFonts w:eastAsia="Tahoma"/>
          <w:color w:val="000000"/>
          <w:spacing w:val="9"/>
          <w:sz w:val="24"/>
          <w:szCs w:val="24"/>
          <w:lang w:val="it-IT"/>
        </w:rPr>
        <w:t>nterno, di concerto con il Ministero dell'</w:t>
      </w:r>
      <w:r w:rsidR="006E3E61">
        <w:rPr>
          <w:rFonts w:eastAsia="Tahoma"/>
          <w:color w:val="000000"/>
          <w:spacing w:val="9"/>
          <w:sz w:val="24"/>
          <w:szCs w:val="24"/>
          <w:lang w:val="it-IT"/>
        </w:rPr>
        <w:t>E</w:t>
      </w:r>
      <w:r w:rsidRPr="004D2198">
        <w:rPr>
          <w:rFonts w:eastAsia="Tahoma"/>
          <w:color w:val="000000"/>
          <w:spacing w:val="9"/>
          <w:sz w:val="24"/>
          <w:szCs w:val="24"/>
          <w:lang w:val="it-IT"/>
        </w:rPr>
        <w:t xml:space="preserve">conomia delle </w:t>
      </w:r>
      <w:r w:rsidR="006E3E61">
        <w:rPr>
          <w:rFonts w:eastAsia="Tahoma"/>
          <w:color w:val="000000"/>
          <w:spacing w:val="9"/>
          <w:sz w:val="24"/>
          <w:szCs w:val="24"/>
          <w:lang w:val="it-IT"/>
        </w:rPr>
        <w:t>F</w:t>
      </w:r>
      <w:r w:rsidRPr="004D2198">
        <w:rPr>
          <w:rFonts w:eastAsia="Tahoma"/>
          <w:color w:val="000000"/>
          <w:spacing w:val="9"/>
          <w:sz w:val="24"/>
          <w:szCs w:val="24"/>
          <w:lang w:val="it-IT"/>
        </w:rPr>
        <w:t xml:space="preserve">inanze, entro trenta giorni dalla data di pubblicazione del decreto del Presidente del Consiglio dei </w:t>
      </w:r>
      <w:r w:rsidR="006E3E61">
        <w:rPr>
          <w:rFonts w:eastAsia="Tahoma"/>
          <w:color w:val="000000"/>
          <w:spacing w:val="9"/>
          <w:sz w:val="24"/>
          <w:szCs w:val="24"/>
          <w:lang w:val="it-IT"/>
        </w:rPr>
        <w:t>M</w:t>
      </w:r>
      <w:r w:rsidRPr="004D2198">
        <w:rPr>
          <w:rFonts w:eastAsia="Tahoma"/>
          <w:color w:val="000000"/>
          <w:spacing w:val="9"/>
          <w:sz w:val="24"/>
          <w:szCs w:val="24"/>
          <w:lang w:val="it-IT"/>
        </w:rPr>
        <w:t>inistri di cui al primo periodo;</w:t>
      </w:r>
    </w:p>
    <w:p w14:paraId="728222A9" w14:textId="77777777" w:rsidR="00246F66" w:rsidRPr="004D2198" w:rsidRDefault="00246F66" w:rsidP="00246F66">
      <w:pPr>
        <w:tabs>
          <w:tab w:val="left" w:pos="360"/>
        </w:tabs>
        <w:ind w:right="-1573"/>
        <w:jc w:val="both"/>
        <w:textAlignment w:val="baseline"/>
        <w:rPr>
          <w:rFonts w:eastAsia="Tahoma"/>
          <w:color w:val="000000"/>
          <w:spacing w:val="9"/>
          <w:sz w:val="24"/>
          <w:szCs w:val="24"/>
          <w:lang w:val="it-IT"/>
        </w:rPr>
      </w:pPr>
    </w:p>
    <w:p w14:paraId="387EA1D4" w14:textId="0153282F" w:rsidR="00D356F2" w:rsidRDefault="007D5B80" w:rsidP="00A83197">
      <w:pPr>
        <w:ind w:right="-1573"/>
        <w:jc w:val="both"/>
        <w:textAlignment w:val="baseline"/>
        <w:rPr>
          <w:rFonts w:eastAsia="Tahoma"/>
          <w:b/>
          <w:color w:val="000000"/>
          <w:spacing w:val="-1"/>
          <w:sz w:val="24"/>
          <w:szCs w:val="24"/>
          <w:lang w:val="it-IT"/>
        </w:rPr>
      </w:pPr>
      <w:r w:rsidRPr="004D2198">
        <w:rPr>
          <w:rFonts w:eastAsia="Tahoma"/>
          <w:b/>
          <w:color w:val="000000"/>
          <w:spacing w:val="-1"/>
          <w:sz w:val="24"/>
          <w:szCs w:val="24"/>
          <w:lang w:val="it-IT"/>
        </w:rPr>
        <w:t>OSSERVATO:</w:t>
      </w:r>
    </w:p>
    <w:p w14:paraId="6E3935EA" w14:textId="77777777" w:rsidR="00572404" w:rsidRPr="004D2198" w:rsidRDefault="00572404" w:rsidP="00A83197">
      <w:pPr>
        <w:ind w:right="-1573"/>
        <w:jc w:val="both"/>
        <w:textAlignment w:val="baseline"/>
        <w:rPr>
          <w:rFonts w:eastAsia="Tahoma"/>
          <w:b/>
          <w:color w:val="000000"/>
          <w:spacing w:val="-1"/>
          <w:sz w:val="24"/>
          <w:szCs w:val="24"/>
          <w:lang w:val="it-IT"/>
        </w:rPr>
      </w:pPr>
    </w:p>
    <w:p w14:paraId="6D1304ED" w14:textId="0678A9CD" w:rsidR="00D356F2" w:rsidRDefault="007D5B80" w:rsidP="00A83197">
      <w:pPr>
        <w:numPr>
          <w:ilvl w:val="0"/>
          <w:numId w:val="1"/>
        </w:numPr>
        <w:ind w:right="-1573"/>
        <w:jc w:val="both"/>
        <w:textAlignment w:val="baseline"/>
        <w:rPr>
          <w:rFonts w:eastAsia="Tahoma"/>
          <w:color w:val="000000"/>
          <w:spacing w:val="8"/>
          <w:sz w:val="24"/>
          <w:szCs w:val="24"/>
          <w:lang w:val="it-IT"/>
        </w:rPr>
      </w:pPr>
      <w:r w:rsidRPr="004D2198">
        <w:rPr>
          <w:rFonts w:eastAsia="Tahoma"/>
          <w:color w:val="000000"/>
          <w:spacing w:val="8"/>
          <w:sz w:val="24"/>
          <w:szCs w:val="24"/>
          <w:lang w:val="it-IT"/>
        </w:rPr>
        <w:t xml:space="preserve">Che a fronte del testo di legge (Legge n. 160/2019) che destina i soldi </w:t>
      </w:r>
      <w:r w:rsidRPr="004D2198">
        <w:rPr>
          <w:rFonts w:eastAsia="Tahoma"/>
          <w:i/>
          <w:color w:val="000000"/>
          <w:spacing w:val="8"/>
          <w:sz w:val="24"/>
          <w:szCs w:val="24"/>
          <w:lang w:val="it-IT"/>
        </w:rPr>
        <w:t xml:space="preserve">"ai </w:t>
      </w:r>
      <w:r w:rsidR="006E3E61">
        <w:rPr>
          <w:rFonts w:eastAsia="Tahoma"/>
          <w:i/>
          <w:color w:val="000000"/>
          <w:spacing w:val="8"/>
          <w:sz w:val="24"/>
          <w:szCs w:val="24"/>
          <w:lang w:val="it-IT"/>
        </w:rPr>
        <w:t>C</w:t>
      </w:r>
      <w:r w:rsidRPr="004D2198">
        <w:rPr>
          <w:rFonts w:eastAsia="Tahoma"/>
          <w:i/>
          <w:color w:val="000000"/>
          <w:spacing w:val="8"/>
          <w:sz w:val="24"/>
          <w:szCs w:val="24"/>
          <w:lang w:val="it-IT"/>
        </w:rPr>
        <w:t xml:space="preserve">omuni" </w:t>
      </w:r>
      <w:r w:rsidRPr="004D2198">
        <w:rPr>
          <w:rFonts w:eastAsia="Tahoma"/>
          <w:color w:val="000000"/>
          <w:spacing w:val="8"/>
          <w:sz w:val="24"/>
          <w:szCs w:val="24"/>
          <w:lang w:val="it-IT"/>
        </w:rPr>
        <w:t xml:space="preserve">(cioè tutti i </w:t>
      </w:r>
      <w:r w:rsidR="006E3E61">
        <w:rPr>
          <w:rFonts w:eastAsia="Tahoma"/>
          <w:color w:val="000000"/>
          <w:spacing w:val="8"/>
          <w:sz w:val="24"/>
          <w:szCs w:val="24"/>
          <w:lang w:val="it-IT"/>
        </w:rPr>
        <w:t>C</w:t>
      </w:r>
      <w:r w:rsidRPr="004D2198">
        <w:rPr>
          <w:rFonts w:eastAsia="Tahoma"/>
          <w:color w:val="000000"/>
          <w:spacing w:val="8"/>
          <w:sz w:val="24"/>
          <w:szCs w:val="24"/>
          <w:lang w:val="it-IT"/>
        </w:rPr>
        <w:t>omuni, senza distinzione di taglia), in Conferenza Stato-Città, con Atto di Intesa, n. 595 del 6 agosto 2020, ANCI ha concordato con il Ministero dell'Interno di limitare la possibilità di fare istanza dei fondi ai soli comuni dai 15.000 abitanti in su.</w:t>
      </w:r>
    </w:p>
    <w:p w14:paraId="688DB672" w14:textId="77777777" w:rsidR="002E2738" w:rsidRPr="004D2198" w:rsidRDefault="002E2738" w:rsidP="002E2738">
      <w:pPr>
        <w:tabs>
          <w:tab w:val="left" w:pos="360"/>
        </w:tabs>
        <w:ind w:right="-1573"/>
        <w:jc w:val="both"/>
        <w:textAlignment w:val="baseline"/>
        <w:rPr>
          <w:rFonts w:eastAsia="Tahoma"/>
          <w:color w:val="000000"/>
          <w:spacing w:val="8"/>
          <w:sz w:val="24"/>
          <w:szCs w:val="24"/>
          <w:lang w:val="it-IT"/>
        </w:rPr>
      </w:pPr>
    </w:p>
    <w:p w14:paraId="0DB0D9CF" w14:textId="2C9FC8D9" w:rsidR="00D356F2" w:rsidRPr="002E2738" w:rsidRDefault="007D5B80" w:rsidP="00246F66">
      <w:pPr>
        <w:pStyle w:val="Paragrafoelenco"/>
        <w:numPr>
          <w:ilvl w:val="0"/>
          <w:numId w:val="1"/>
        </w:numPr>
        <w:ind w:left="0" w:right="-1573"/>
        <w:jc w:val="both"/>
        <w:textAlignment w:val="baseline"/>
        <w:rPr>
          <w:rFonts w:eastAsia="Tahoma"/>
          <w:color w:val="000000"/>
          <w:sz w:val="24"/>
          <w:szCs w:val="24"/>
          <w:lang w:val="it-IT"/>
        </w:rPr>
      </w:pPr>
      <w:r w:rsidRPr="00246F66">
        <w:rPr>
          <w:rFonts w:eastAsia="Tahoma"/>
          <w:color w:val="000000"/>
          <w:sz w:val="24"/>
          <w:szCs w:val="24"/>
          <w:lang w:val="it-IT"/>
        </w:rPr>
        <w:t xml:space="preserve">Che a seguire, il DPCM 21 </w:t>
      </w:r>
      <w:r w:rsidR="006E3E61">
        <w:rPr>
          <w:rFonts w:eastAsia="Tahoma"/>
          <w:color w:val="000000"/>
          <w:sz w:val="24"/>
          <w:szCs w:val="24"/>
          <w:lang w:val="it-IT"/>
        </w:rPr>
        <w:t>G</w:t>
      </w:r>
      <w:r w:rsidRPr="00246F66">
        <w:rPr>
          <w:rFonts w:eastAsia="Tahoma"/>
          <w:color w:val="000000"/>
          <w:sz w:val="24"/>
          <w:szCs w:val="24"/>
          <w:lang w:val="it-IT"/>
        </w:rPr>
        <w:t xml:space="preserve">ennaio 2021, ha </w:t>
      </w:r>
      <w:r w:rsidRPr="00246F66">
        <w:rPr>
          <w:rFonts w:eastAsia="Tahoma"/>
          <w:i/>
          <w:color w:val="000000"/>
          <w:sz w:val="24"/>
          <w:szCs w:val="24"/>
          <w:lang w:val="it-IT"/>
        </w:rPr>
        <w:t xml:space="preserve">"ritenuto necessario limitare i contributi a favore dei comuni con popolazione superiore ai 15.000 abitanti </w:t>
      </w:r>
      <w:r w:rsidRPr="00246F66">
        <w:rPr>
          <w:rFonts w:eastAsia="Tahoma"/>
          <w:i/>
          <w:color w:val="000000"/>
          <w:sz w:val="24"/>
          <w:szCs w:val="24"/>
          <w:u w:val="single"/>
          <w:lang w:val="it-IT"/>
        </w:rPr>
        <w:t>in considerazione della prioritario necessità di interventi di rigenerazione urbana";</w:t>
      </w:r>
    </w:p>
    <w:p w14:paraId="699ECAED" w14:textId="77777777" w:rsidR="002E2738" w:rsidRPr="00246F66" w:rsidRDefault="002E2738" w:rsidP="002E2738">
      <w:pPr>
        <w:pStyle w:val="Paragrafoelenco"/>
        <w:tabs>
          <w:tab w:val="left" w:pos="360"/>
        </w:tabs>
        <w:ind w:left="0" w:right="-1573"/>
        <w:jc w:val="both"/>
        <w:textAlignment w:val="baseline"/>
        <w:rPr>
          <w:rFonts w:eastAsia="Tahoma"/>
          <w:color w:val="000000"/>
          <w:sz w:val="24"/>
          <w:szCs w:val="24"/>
          <w:lang w:val="it-IT"/>
        </w:rPr>
      </w:pPr>
    </w:p>
    <w:p w14:paraId="251DB556" w14:textId="5A3FA61B" w:rsidR="002E2738" w:rsidRDefault="007D5B80" w:rsidP="00A83197">
      <w:pPr>
        <w:ind w:right="-1573"/>
        <w:jc w:val="both"/>
        <w:textAlignment w:val="baseline"/>
        <w:rPr>
          <w:rFonts w:eastAsia="Tahoma"/>
          <w:i/>
          <w:color w:val="000000"/>
          <w:spacing w:val="8"/>
          <w:sz w:val="24"/>
          <w:szCs w:val="24"/>
          <w:lang w:val="it-IT"/>
        </w:rPr>
      </w:pPr>
      <w:r w:rsidRPr="004D2198">
        <w:rPr>
          <w:rFonts w:eastAsia="Tahoma"/>
          <w:color w:val="000000"/>
          <w:spacing w:val="8"/>
          <w:sz w:val="24"/>
          <w:szCs w:val="24"/>
          <w:lang w:val="it-IT"/>
        </w:rPr>
        <w:t xml:space="preserve">Che tale decreto attuativo, volendo ridurre i beneficiari del contributo, per assicurare un minimo di giustizia distributiva, semmai, avrebbe dovuto favorire in primis i </w:t>
      </w:r>
      <w:r w:rsidR="00FA3BAD">
        <w:rPr>
          <w:rFonts w:eastAsia="Tahoma"/>
          <w:color w:val="000000"/>
          <w:spacing w:val="8"/>
          <w:sz w:val="24"/>
          <w:szCs w:val="24"/>
          <w:lang w:val="it-IT"/>
        </w:rPr>
        <w:t>P</w:t>
      </w:r>
      <w:r w:rsidRPr="004D2198">
        <w:rPr>
          <w:rFonts w:eastAsia="Tahoma"/>
          <w:color w:val="000000"/>
          <w:spacing w:val="8"/>
          <w:sz w:val="24"/>
          <w:szCs w:val="24"/>
          <w:lang w:val="it-IT"/>
        </w:rPr>
        <w:t xml:space="preserve">iccoli </w:t>
      </w:r>
      <w:r w:rsidR="00FA3BAD">
        <w:rPr>
          <w:rFonts w:eastAsia="Tahoma"/>
          <w:color w:val="000000"/>
          <w:spacing w:val="8"/>
          <w:sz w:val="24"/>
          <w:szCs w:val="24"/>
          <w:lang w:val="it-IT"/>
        </w:rPr>
        <w:t>C</w:t>
      </w:r>
      <w:r w:rsidRPr="004D2198">
        <w:rPr>
          <w:rFonts w:eastAsia="Tahoma"/>
          <w:color w:val="000000"/>
          <w:spacing w:val="8"/>
          <w:sz w:val="24"/>
          <w:szCs w:val="24"/>
          <w:lang w:val="it-IT"/>
        </w:rPr>
        <w:t xml:space="preserve">omuni che già sono stati esclusi dal </w:t>
      </w:r>
      <w:r w:rsidRPr="004D2198">
        <w:rPr>
          <w:rFonts w:eastAsia="Tahoma"/>
          <w:i/>
          <w:color w:val="000000"/>
          <w:spacing w:val="8"/>
          <w:sz w:val="24"/>
          <w:szCs w:val="24"/>
          <w:lang w:val="it-IT"/>
        </w:rPr>
        <w:t>"Programma innovativo nazionale per la qualità dell'abitare" di cui al comma 437 e segg. della legge 160 /2019);</w:t>
      </w:r>
    </w:p>
    <w:p w14:paraId="10858C72" w14:textId="77777777" w:rsidR="002E2738" w:rsidRPr="002E2738" w:rsidRDefault="002E2738" w:rsidP="00A83197">
      <w:pPr>
        <w:ind w:right="-1573"/>
        <w:jc w:val="both"/>
        <w:textAlignment w:val="baseline"/>
        <w:rPr>
          <w:rFonts w:eastAsia="Tahoma"/>
          <w:i/>
          <w:color w:val="000000"/>
          <w:spacing w:val="8"/>
          <w:sz w:val="24"/>
          <w:szCs w:val="24"/>
          <w:lang w:val="it-IT"/>
        </w:rPr>
      </w:pPr>
    </w:p>
    <w:p w14:paraId="35AE36B8" w14:textId="280A3F3E" w:rsidR="002E2738" w:rsidRDefault="007D5B80" w:rsidP="002E2738">
      <w:pPr>
        <w:numPr>
          <w:ilvl w:val="0"/>
          <w:numId w:val="1"/>
        </w:numPr>
        <w:ind w:right="-1573"/>
        <w:jc w:val="both"/>
        <w:textAlignment w:val="baseline"/>
        <w:rPr>
          <w:rFonts w:eastAsia="Tahoma"/>
          <w:color w:val="000000"/>
          <w:spacing w:val="9"/>
          <w:sz w:val="24"/>
          <w:szCs w:val="24"/>
          <w:lang w:val="it-IT"/>
        </w:rPr>
      </w:pPr>
      <w:r w:rsidRPr="004D2198">
        <w:rPr>
          <w:rFonts w:eastAsia="Tahoma"/>
          <w:color w:val="000000"/>
          <w:spacing w:val="9"/>
          <w:sz w:val="24"/>
          <w:szCs w:val="24"/>
          <w:lang w:val="it-IT"/>
        </w:rPr>
        <w:lastRenderedPageBreak/>
        <w:t xml:space="preserve">Che appare palesemente illegittima l'esclusione dei </w:t>
      </w:r>
      <w:r w:rsidR="00FA3BAD">
        <w:rPr>
          <w:rFonts w:eastAsia="Tahoma"/>
          <w:color w:val="000000"/>
          <w:spacing w:val="9"/>
          <w:sz w:val="24"/>
          <w:szCs w:val="24"/>
          <w:lang w:val="it-IT"/>
        </w:rPr>
        <w:t>P</w:t>
      </w:r>
      <w:r w:rsidRPr="004D2198">
        <w:rPr>
          <w:rFonts w:eastAsia="Tahoma"/>
          <w:color w:val="000000"/>
          <w:spacing w:val="9"/>
          <w:sz w:val="24"/>
          <w:szCs w:val="24"/>
          <w:lang w:val="it-IT"/>
        </w:rPr>
        <w:t xml:space="preserve">iccoli </w:t>
      </w:r>
      <w:r w:rsidR="002E2738">
        <w:rPr>
          <w:rFonts w:eastAsia="Tahoma"/>
          <w:color w:val="000000"/>
          <w:spacing w:val="9"/>
          <w:sz w:val="24"/>
          <w:szCs w:val="24"/>
          <w:lang w:val="it-IT"/>
        </w:rPr>
        <w:t>C</w:t>
      </w:r>
      <w:r w:rsidRPr="004D2198">
        <w:rPr>
          <w:rFonts w:eastAsia="Tahoma"/>
          <w:color w:val="000000"/>
          <w:spacing w:val="9"/>
          <w:sz w:val="24"/>
          <w:szCs w:val="24"/>
          <w:lang w:val="it-IT"/>
        </w:rPr>
        <w:t xml:space="preserve">omuni con decreto (fonte di grado secondario) quando la Legge n. 160 del 27 dicembre 2019 prevede come aventi titolo, all'assegnazione dei contributi, TUTTI i </w:t>
      </w:r>
      <w:r w:rsidR="002E2738">
        <w:rPr>
          <w:rFonts w:eastAsia="Tahoma"/>
          <w:color w:val="000000"/>
          <w:spacing w:val="9"/>
          <w:sz w:val="24"/>
          <w:szCs w:val="24"/>
          <w:lang w:val="it-IT"/>
        </w:rPr>
        <w:t>C</w:t>
      </w:r>
      <w:r w:rsidRPr="004D2198">
        <w:rPr>
          <w:rFonts w:eastAsia="Tahoma"/>
          <w:color w:val="000000"/>
          <w:spacing w:val="9"/>
          <w:sz w:val="24"/>
          <w:szCs w:val="24"/>
          <w:lang w:val="it-IT"/>
        </w:rPr>
        <w:t>omuni;</w:t>
      </w:r>
    </w:p>
    <w:p w14:paraId="551E6A33" w14:textId="77777777" w:rsidR="002E2738" w:rsidRPr="002E2738" w:rsidRDefault="002E2738" w:rsidP="002E2738">
      <w:pPr>
        <w:tabs>
          <w:tab w:val="left" w:pos="360"/>
        </w:tabs>
        <w:ind w:right="-1573"/>
        <w:jc w:val="both"/>
        <w:textAlignment w:val="baseline"/>
        <w:rPr>
          <w:rFonts w:eastAsia="Tahoma"/>
          <w:color w:val="000000"/>
          <w:spacing w:val="9"/>
          <w:sz w:val="24"/>
          <w:szCs w:val="24"/>
          <w:lang w:val="it-IT"/>
        </w:rPr>
      </w:pPr>
    </w:p>
    <w:p w14:paraId="0A4621D0" w14:textId="4669327B" w:rsidR="00D356F2" w:rsidRPr="002E2738" w:rsidRDefault="007D5B80" w:rsidP="002E2738">
      <w:pPr>
        <w:pStyle w:val="Paragrafoelenco"/>
        <w:numPr>
          <w:ilvl w:val="0"/>
          <w:numId w:val="1"/>
        </w:numPr>
        <w:ind w:left="0" w:right="-1573"/>
        <w:jc w:val="both"/>
        <w:textAlignment w:val="baseline"/>
        <w:rPr>
          <w:rFonts w:eastAsia="Tahoma"/>
          <w:color w:val="000000"/>
          <w:sz w:val="24"/>
          <w:szCs w:val="24"/>
          <w:lang w:val="it-IT"/>
        </w:rPr>
      </w:pPr>
      <w:r w:rsidRPr="002E2738">
        <w:rPr>
          <w:rFonts w:eastAsia="Tahoma"/>
          <w:color w:val="000000"/>
          <w:sz w:val="24"/>
          <w:szCs w:val="24"/>
          <w:lang w:val="it-IT"/>
        </w:rPr>
        <w:t>Che tale esclusione dei piccoli comuni appare ingiustificata anche laddove la Legge 160, articolo 1, comma 43, demanda al D</w:t>
      </w:r>
      <w:r w:rsidR="00FA3BAD">
        <w:rPr>
          <w:rFonts w:eastAsia="Tahoma"/>
          <w:color w:val="000000"/>
          <w:sz w:val="24"/>
          <w:szCs w:val="24"/>
          <w:lang w:val="it-IT"/>
        </w:rPr>
        <w:t>PCM</w:t>
      </w:r>
      <w:r w:rsidRPr="002E2738">
        <w:rPr>
          <w:rFonts w:eastAsia="Tahoma"/>
          <w:color w:val="000000"/>
          <w:sz w:val="24"/>
          <w:szCs w:val="24"/>
          <w:lang w:val="it-IT"/>
        </w:rPr>
        <w:t xml:space="preserve"> l'individuazione de </w:t>
      </w:r>
      <w:r w:rsidRPr="002E2738">
        <w:rPr>
          <w:rFonts w:eastAsia="Arial"/>
          <w:i/>
          <w:color w:val="000000"/>
          <w:sz w:val="24"/>
          <w:szCs w:val="24"/>
          <w:lang w:val="it-IT"/>
        </w:rPr>
        <w:t xml:space="preserve">"i criteri e le modalità di riparto, ivi incluse le modalità di utilizzo dei ribassi d'asta, di monitoraggio", </w:t>
      </w:r>
      <w:r w:rsidRPr="002E2738">
        <w:rPr>
          <w:rFonts w:eastAsia="Tahoma"/>
          <w:b/>
          <w:color w:val="000000"/>
          <w:sz w:val="24"/>
          <w:szCs w:val="24"/>
          <w:u w:val="single"/>
          <w:lang w:val="it-IT"/>
        </w:rPr>
        <w:t>non invece la delimitazione della platea dei beneficiari;</w:t>
      </w:r>
    </w:p>
    <w:p w14:paraId="0268FEBD" w14:textId="77777777" w:rsidR="00572404" w:rsidRDefault="00572404" w:rsidP="00A83197">
      <w:pPr>
        <w:ind w:right="-1573"/>
        <w:jc w:val="both"/>
        <w:textAlignment w:val="baseline"/>
        <w:rPr>
          <w:rFonts w:eastAsia="Tahoma"/>
          <w:b/>
          <w:color w:val="000000"/>
          <w:spacing w:val="-4"/>
          <w:sz w:val="24"/>
          <w:szCs w:val="24"/>
          <w:lang w:val="it-IT"/>
        </w:rPr>
      </w:pPr>
    </w:p>
    <w:p w14:paraId="3F8BE5A1" w14:textId="337DBC76" w:rsidR="00D356F2" w:rsidRDefault="007D5B80" w:rsidP="00A83197">
      <w:pPr>
        <w:ind w:right="-1573"/>
        <w:jc w:val="both"/>
        <w:textAlignment w:val="baseline"/>
        <w:rPr>
          <w:rFonts w:eastAsia="Tahoma"/>
          <w:b/>
          <w:color w:val="000000"/>
          <w:spacing w:val="-4"/>
          <w:sz w:val="24"/>
          <w:szCs w:val="24"/>
          <w:lang w:val="it-IT"/>
        </w:rPr>
      </w:pPr>
      <w:r w:rsidRPr="004D2198">
        <w:rPr>
          <w:rFonts w:eastAsia="Tahoma"/>
          <w:b/>
          <w:color w:val="000000"/>
          <w:spacing w:val="-4"/>
          <w:sz w:val="24"/>
          <w:szCs w:val="24"/>
          <w:lang w:val="it-IT"/>
        </w:rPr>
        <w:t>RILEVATO:</w:t>
      </w:r>
    </w:p>
    <w:p w14:paraId="79B3C9D7" w14:textId="77777777" w:rsidR="00572404" w:rsidRPr="004D2198" w:rsidRDefault="00572404" w:rsidP="00A83197">
      <w:pPr>
        <w:ind w:right="-1573"/>
        <w:jc w:val="both"/>
        <w:textAlignment w:val="baseline"/>
        <w:rPr>
          <w:rFonts w:eastAsia="Tahoma"/>
          <w:b/>
          <w:color w:val="000000"/>
          <w:spacing w:val="-4"/>
          <w:sz w:val="24"/>
          <w:szCs w:val="24"/>
          <w:lang w:val="it-IT"/>
        </w:rPr>
      </w:pPr>
    </w:p>
    <w:p w14:paraId="74F52CBF" w14:textId="6DF5A0CB" w:rsidR="00D356F2" w:rsidRDefault="007D5B80" w:rsidP="00A83197">
      <w:pPr>
        <w:numPr>
          <w:ilvl w:val="0"/>
          <w:numId w:val="1"/>
        </w:numPr>
        <w:ind w:right="-1573"/>
        <w:jc w:val="both"/>
        <w:textAlignment w:val="baseline"/>
        <w:rPr>
          <w:rFonts w:eastAsia="Tahoma"/>
          <w:color w:val="000000"/>
          <w:spacing w:val="7"/>
          <w:sz w:val="24"/>
          <w:szCs w:val="24"/>
          <w:lang w:val="it-IT"/>
        </w:rPr>
      </w:pPr>
      <w:r w:rsidRPr="004D2198">
        <w:rPr>
          <w:rFonts w:eastAsia="Tahoma"/>
          <w:color w:val="000000"/>
          <w:spacing w:val="7"/>
          <w:sz w:val="24"/>
          <w:szCs w:val="24"/>
          <w:lang w:val="it-IT"/>
        </w:rPr>
        <w:t xml:space="preserve">Che di fronte a due fondi per la "rigenerazione urbana" previsti dalla legge di </w:t>
      </w:r>
      <w:r w:rsidR="00D86616">
        <w:rPr>
          <w:rFonts w:eastAsia="Tahoma"/>
          <w:color w:val="000000"/>
          <w:spacing w:val="7"/>
          <w:sz w:val="24"/>
          <w:szCs w:val="24"/>
          <w:lang w:val="it-IT"/>
        </w:rPr>
        <w:t>B</w:t>
      </w:r>
      <w:r w:rsidRPr="004D2198">
        <w:rPr>
          <w:rFonts w:eastAsia="Tahoma"/>
          <w:color w:val="000000"/>
          <w:spacing w:val="7"/>
          <w:sz w:val="24"/>
          <w:szCs w:val="24"/>
          <w:lang w:val="it-IT"/>
        </w:rPr>
        <w:t xml:space="preserve">ilancio n. 160/2019, i </w:t>
      </w:r>
      <w:r w:rsidR="00D86616">
        <w:rPr>
          <w:rFonts w:eastAsia="Tahoma"/>
          <w:color w:val="000000"/>
          <w:spacing w:val="7"/>
          <w:sz w:val="24"/>
          <w:szCs w:val="24"/>
          <w:lang w:val="it-IT"/>
        </w:rPr>
        <w:t>P</w:t>
      </w:r>
      <w:r w:rsidRPr="004D2198">
        <w:rPr>
          <w:rFonts w:eastAsia="Tahoma"/>
          <w:color w:val="000000"/>
          <w:spacing w:val="7"/>
          <w:sz w:val="24"/>
          <w:szCs w:val="24"/>
          <w:lang w:val="it-IT"/>
        </w:rPr>
        <w:t xml:space="preserve">iccoli </w:t>
      </w:r>
      <w:r w:rsidR="00D86616">
        <w:rPr>
          <w:rFonts w:eastAsia="Tahoma"/>
          <w:color w:val="000000"/>
          <w:spacing w:val="7"/>
          <w:sz w:val="24"/>
          <w:szCs w:val="24"/>
          <w:lang w:val="it-IT"/>
        </w:rPr>
        <w:t>C</w:t>
      </w:r>
      <w:r w:rsidRPr="004D2198">
        <w:rPr>
          <w:rFonts w:eastAsia="Tahoma"/>
          <w:color w:val="000000"/>
          <w:spacing w:val="7"/>
          <w:sz w:val="24"/>
          <w:szCs w:val="24"/>
          <w:lang w:val="it-IT"/>
        </w:rPr>
        <w:t xml:space="preserve">omuni sono stati esclusi da entrambi una prima volta per legge, ai sensi del comma 437 eseguenti, una seconda volta invece in fase applicativa (con Atto di Intesa della Conferenza Stato-Città, n. 595 del 6 </w:t>
      </w:r>
      <w:r w:rsidR="00D86616">
        <w:rPr>
          <w:rFonts w:eastAsia="Tahoma"/>
          <w:color w:val="000000"/>
          <w:spacing w:val="7"/>
          <w:sz w:val="24"/>
          <w:szCs w:val="24"/>
          <w:lang w:val="it-IT"/>
        </w:rPr>
        <w:t>A</w:t>
      </w:r>
      <w:r w:rsidRPr="004D2198">
        <w:rPr>
          <w:rFonts w:eastAsia="Tahoma"/>
          <w:color w:val="000000"/>
          <w:spacing w:val="7"/>
          <w:sz w:val="24"/>
          <w:szCs w:val="24"/>
          <w:lang w:val="it-IT"/>
        </w:rPr>
        <w:t xml:space="preserve">gosto 2020 e con DPCM 21 </w:t>
      </w:r>
      <w:r w:rsidR="00D86616">
        <w:rPr>
          <w:rFonts w:eastAsia="Tahoma"/>
          <w:color w:val="000000"/>
          <w:spacing w:val="7"/>
          <w:sz w:val="24"/>
          <w:szCs w:val="24"/>
          <w:lang w:val="it-IT"/>
        </w:rPr>
        <w:t>G</w:t>
      </w:r>
      <w:r w:rsidRPr="004D2198">
        <w:rPr>
          <w:rFonts w:eastAsia="Tahoma"/>
          <w:color w:val="000000"/>
          <w:spacing w:val="7"/>
          <w:sz w:val="24"/>
          <w:szCs w:val="24"/>
          <w:lang w:val="it-IT"/>
        </w:rPr>
        <w:t xml:space="preserve">ennaio 2021) nonostante la legge destinasse i fondi di cui ai commi 42 e 43 anche ai </w:t>
      </w:r>
      <w:r w:rsidR="00D86616">
        <w:rPr>
          <w:rFonts w:eastAsia="Tahoma"/>
          <w:color w:val="000000"/>
          <w:spacing w:val="7"/>
          <w:sz w:val="24"/>
          <w:szCs w:val="24"/>
          <w:lang w:val="it-IT"/>
        </w:rPr>
        <w:t>P</w:t>
      </w:r>
      <w:r w:rsidRPr="004D2198">
        <w:rPr>
          <w:rFonts w:eastAsia="Tahoma"/>
          <w:color w:val="000000"/>
          <w:spacing w:val="7"/>
          <w:sz w:val="24"/>
          <w:szCs w:val="24"/>
          <w:lang w:val="it-IT"/>
        </w:rPr>
        <w:t xml:space="preserve">iccoli </w:t>
      </w:r>
      <w:r w:rsidR="00572404">
        <w:rPr>
          <w:rFonts w:eastAsia="Tahoma"/>
          <w:color w:val="000000"/>
          <w:spacing w:val="7"/>
          <w:sz w:val="24"/>
          <w:szCs w:val="24"/>
          <w:lang w:val="it-IT"/>
        </w:rPr>
        <w:t>C</w:t>
      </w:r>
      <w:r w:rsidRPr="004D2198">
        <w:rPr>
          <w:rFonts w:eastAsia="Tahoma"/>
          <w:color w:val="000000"/>
          <w:spacing w:val="7"/>
          <w:sz w:val="24"/>
          <w:szCs w:val="24"/>
          <w:lang w:val="it-IT"/>
        </w:rPr>
        <w:t>omuni;</w:t>
      </w:r>
    </w:p>
    <w:p w14:paraId="787C9BC7" w14:textId="77777777" w:rsidR="00572404" w:rsidRPr="004D2198" w:rsidRDefault="00572404" w:rsidP="00572404">
      <w:pPr>
        <w:tabs>
          <w:tab w:val="left" w:pos="360"/>
        </w:tabs>
        <w:ind w:right="-1573"/>
        <w:jc w:val="both"/>
        <w:textAlignment w:val="baseline"/>
        <w:rPr>
          <w:rFonts w:eastAsia="Tahoma"/>
          <w:color w:val="000000"/>
          <w:spacing w:val="7"/>
          <w:sz w:val="24"/>
          <w:szCs w:val="24"/>
          <w:lang w:val="it-IT"/>
        </w:rPr>
      </w:pPr>
    </w:p>
    <w:p w14:paraId="7CC2A4BA" w14:textId="7416B199" w:rsidR="00D356F2" w:rsidRDefault="007D5B80" w:rsidP="00A83197">
      <w:pPr>
        <w:numPr>
          <w:ilvl w:val="0"/>
          <w:numId w:val="1"/>
        </w:numPr>
        <w:ind w:right="-1573"/>
        <w:jc w:val="both"/>
        <w:textAlignment w:val="baseline"/>
        <w:rPr>
          <w:rFonts w:eastAsia="Tahoma"/>
          <w:color w:val="000000"/>
          <w:sz w:val="24"/>
          <w:szCs w:val="24"/>
          <w:lang w:val="it-IT"/>
        </w:rPr>
      </w:pPr>
      <w:r w:rsidRPr="004D2198">
        <w:rPr>
          <w:rFonts w:eastAsia="Tahoma"/>
          <w:color w:val="000000"/>
          <w:sz w:val="24"/>
          <w:szCs w:val="24"/>
          <w:lang w:val="it-IT"/>
        </w:rPr>
        <w:t xml:space="preserve">Che i </w:t>
      </w:r>
      <w:r w:rsidR="00D86616">
        <w:rPr>
          <w:rFonts w:eastAsia="Tahoma"/>
          <w:color w:val="000000"/>
          <w:sz w:val="24"/>
          <w:szCs w:val="24"/>
          <w:lang w:val="it-IT"/>
        </w:rPr>
        <w:t>C</w:t>
      </w:r>
      <w:r w:rsidRPr="004D2198">
        <w:rPr>
          <w:rFonts w:eastAsia="Tahoma"/>
          <w:color w:val="000000"/>
          <w:sz w:val="24"/>
          <w:szCs w:val="24"/>
          <w:lang w:val="it-IT"/>
        </w:rPr>
        <w:t>omuni esclusi dal DPCM summenzionato, sono 7.206 sui 7.904 presenti nel territorio nazionale, con una percentuale quindi al di sopra del 90%;</w:t>
      </w:r>
    </w:p>
    <w:p w14:paraId="6D84A3AE" w14:textId="77777777" w:rsidR="00572404" w:rsidRPr="004D2198" w:rsidRDefault="00572404" w:rsidP="00572404">
      <w:pPr>
        <w:tabs>
          <w:tab w:val="left" w:pos="360"/>
        </w:tabs>
        <w:ind w:right="-1573"/>
        <w:jc w:val="both"/>
        <w:textAlignment w:val="baseline"/>
        <w:rPr>
          <w:rFonts w:eastAsia="Tahoma"/>
          <w:color w:val="000000"/>
          <w:sz w:val="24"/>
          <w:szCs w:val="24"/>
          <w:lang w:val="it-IT"/>
        </w:rPr>
      </w:pPr>
    </w:p>
    <w:p w14:paraId="523671D3" w14:textId="43C1EC25" w:rsidR="00D356F2" w:rsidRDefault="007D5B80" w:rsidP="00A83197">
      <w:pPr>
        <w:numPr>
          <w:ilvl w:val="0"/>
          <w:numId w:val="1"/>
        </w:numPr>
        <w:ind w:right="-1573"/>
        <w:jc w:val="both"/>
        <w:textAlignment w:val="baseline"/>
        <w:rPr>
          <w:rFonts w:eastAsia="Tahoma"/>
          <w:color w:val="000000"/>
          <w:sz w:val="24"/>
          <w:szCs w:val="24"/>
          <w:lang w:val="it-IT"/>
        </w:rPr>
      </w:pPr>
      <w:r w:rsidRPr="004D2198">
        <w:rPr>
          <w:rFonts w:eastAsia="Tahoma"/>
          <w:color w:val="000000"/>
          <w:sz w:val="24"/>
          <w:szCs w:val="24"/>
          <w:lang w:val="it-IT"/>
        </w:rPr>
        <w:t xml:space="preserve">Che la maggior parte del territorio italiano è presidiato da </w:t>
      </w:r>
      <w:r w:rsidR="00D86616">
        <w:rPr>
          <w:rFonts w:eastAsia="Tahoma"/>
          <w:color w:val="000000"/>
          <w:sz w:val="24"/>
          <w:szCs w:val="24"/>
          <w:lang w:val="it-IT"/>
        </w:rPr>
        <w:t>P</w:t>
      </w:r>
      <w:r w:rsidRPr="004D2198">
        <w:rPr>
          <w:rFonts w:eastAsia="Tahoma"/>
          <w:color w:val="000000"/>
          <w:sz w:val="24"/>
          <w:szCs w:val="24"/>
          <w:lang w:val="it-IT"/>
        </w:rPr>
        <w:t xml:space="preserve">iccoli </w:t>
      </w:r>
      <w:r w:rsidR="00D86616">
        <w:rPr>
          <w:rFonts w:eastAsia="Tahoma"/>
          <w:color w:val="000000"/>
          <w:sz w:val="24"/>
          <w:szCs w:val="24"/>
          <w:lang w:val="it-IT"/>
        </w:rPr>
        <w:t>C</w:t>
      </w:r>
      <w:r w:rsidRPr="004D2198">
        <w:rPr>
          <w:rFonts w:eastAsia="Tahoma"/>
          <w:color w:val="000000"/>
          <w:sz w:val="24"/>
          <w:szCs w:val="24"/>
          <w:lang w:val="it-IT"/>
        </w:rPr>
        <w:t>omuni. E quindi possiamo ben dire che, di fatto, la maggior parte del territorio italiano è tagliato fuori dai fondi per la rigenerazione urbana;</w:t>
      </w:r>
    </w:p>
    <w:p w14:paraId="7C63CE8F" w14:textId="77777777" w:rsidR="00572404" w:rsidRPr="004D2198" w:rsidRDefault="00572404" w:rsidP="00572404">
      <w:pPr>
        <w:tabs>
          <w:tab w:val="left" w:pos="360"/>
        </w:tabs>
        <w:ind w:right="-1573"/>
        <w:jc w:val="both"/>
        <w:textAlignment w:val="baseline"/>
        <w:rPr>
          <w:rFonts w:eastAsia="Tahoma"/>
          <w:color w:val="000000"/>
          <w:sz w:val="24"/>
          <w:szCs w:val="24"/>
          <w:lang w:val="it-IT"/>
        </w:rPr>
      </w:pPr>
    </w:p>
    <w:p w14:paraId="0DB9880B" w14:textId="615EB6E3" w:rsidR="00D356F2" w:rsidRPr="00572404" w:rsidRDefault="007D5B80" w:rsidP="00A83197">
      <w:pPr>
        <w:numPr>
          <w:ilvl w:val="0"/>
          <w:numId w:val="1"/>
        </w:numPr>
        <w:ind w:right="-1573"/>
        <w:jc w:val="both"/>
        <w:textAlignment w:val="baseline"/>
        <w:rPr>
          <w:rFonts w:eastAsia="Tahoma"/>
          <w:b/>
          <w:color w:val="000000"/>
          <w:spacing w:val="3"/>
          <w:sz w:val="24"/>
          <w:szCs w:val="24"/>
          <w:lang w:val="it-IT"/>
        </w:rPr>
      </w:pPr>
      <w:r w:rsidRPr="004D2198">
        <w:rPr>
          <w:rFonts w:eastAsia="Tahoma"/>
          <w:b/>
          <w:color w:val="000000"/>
          <w:spacing w:val="3"/>
          <w:sz w:val="24"/>
          <w:szCs w:val="24"/>
          <w:lang w:val="it-IT"/>
        </w:rPr>
        <w:t xml:space="preserve">Che a tale situazione non viene posto rimedio neppure con il Recovery Plan in quanto nel PNRR </w:t>
      </w:r>
      <w:r w:rsidR="00CD40BA">
        <w:rPr>
          <w:rFonts w:eastAsia="Tahoma"/>
          <w:b/>
          <w:color w:val="000000"/>
          <w:spacing w:val="3"/>
          <w:sz w:val="24"/>
          <w:szCs w:val="24"/>
          <w:lang w:val="it-IT"/>
        </w:rPr>
        <w:t>(</w:t>
      </w:r>
      <w:r w:rsidRPr="004D2198">
        <w:rPr>
          <w:rFonts w:eastAsia="Tahoma"/>
          <w:b/>
          <w:color w:val="000000"/>
          <w:spacing w:val="3"/>
          <w:sz w:val="24"/>
          <w:szCs w:val="24"/>
          <w:lang w:val="it-IT"/>
        </w:rPr>
        <w:t xml:space="preserve">Piano Nazionale di Ripresa e Resilienza) riporta a pagina 216 l'esclusione dei comuni sotto i 15.000 abitanti, </w:t>
      </w:r>
      <w:r w:rsidRPr="004D2198">
        <w:rPr>
          <w:rFonts w:eastAsia="Tahoma"/>
          <w:color w:val="000000"/>
          <w:spacing w:val="3"/>
          <w:sz w:val="24"/>
          <w:szCs w:val="24"/>
          <w:lang w:val="it-IT"/>
        </w:rPr>
        <w:t xml:space="preserve">posto che Anci Nazionale, il 28 settembre 2020, ha presentato alle commissioni riunite del Senato il piano </w:t>
      </w:r>
      <w:r w:rsidRPr="004D2198">
        <w:rPr>
          <w:rFonts w:eastAsia="Tahoma"/>
          <w:b/>
          <w:color w:val="000000"/>
          <w:spacing w:val="3"/>
          <w:sz w:val="24"/>
          <w:szCs w:val="24"/>
          <w:u w:val="single"/>
          <w:lang w:val="it-IT"/>
        </w:rPr>
        <w:t xml:space="preserve">"Città </w:t>
      </w:r>
      <w:r w:rsidRPr="004D2198">
        <w:rPr>
          <w:rFonts w:eastAsia="Tahoma"/>
          <w:b/>
          <w:color w:val="000000"/>
          <w:spacing w:val="3"/>
          <w:sz w:val="24"/>
          <w:szCs w:val="24"/>
          <w:lang w:val="it-IT"/>
        </w:rPr>
        <w:t xml:space="preserve"> Italia" </w:t>
      </w:r>
      <w:r w:rsidRPr="004D2198">
        <w:rPr>
          <w:rFonts w:eastAsia="Tahoma"/>
          <w:color w:val="000000"/>
          <w:spacing w:val="3"/>
          <w:sz w:val="24"/>
          <w:szCs w:val="24"/>
          <w:lang w:val="it-IT"/>
        </w:rPr>
        <w:t xml:space="preserve">che, come si evince già dal nome, pare lasciar fuori e non considerare, per l'ennesima volta, i piccoli </w:t>
      </w:r>
      <w:r w:rsidR="00572404">
        <w:rPr>
          <w:rFonts w:eastAsia="Tahoma"/>
          <w:color w:val="000000"/>
          <w:spacing w:val="3"/>
          <w:sz w:val="24"/>
          <w:szCs w:val="24"/>
          <w:lang w:val="it-IT"/>
        </w:rPr>
        <w:t>C</w:t>
      </w:r>
      <w:r w:rsidRPr="004D2198">
        <w:rPr>
          <w:rFonts w:eastAsia="Tahoma"/>
          <w:color w:val="000000"/>
          <w:spacing w:val="3"/>
          <w:sz w:val="24"/>
          <w:szCs w:val="24"/>
          <w:lang w:val="it-IT"/>
        </w:rPr>
        <w:t>omuni.</w:t>
      </w:r>
    </w:p>
    <w:p w14:paraId="561E5B03" w14:textId="77777777" w:rsidR="00572404" w:rsidRPr="004D2198" w:rsidRDefault="00572404" w:rsidP="00572404">
      <w:pPr>
        <w:tabs>
          <w:tab w:val="left" w:pos="360"/>
        </w:tabs>
        <w:ind w:right="-1573"/>
        <w:jc w:val="both"/>
        <w:textAlignment w:val="baseline"/>
        <w:rPr>
          <w:rFonts w:eastAsia="Tahoma"/>
          <w:b/>
          <w:color w:val="000000"/>
          <w:spacing w:val="3"/>
          <w:sz w:val="24"/>
          <w:szCs w:val="24"/>
          <w:lang w:val="it-IT"/>
        </w:rPr>
      </w:pPr>
    </w:p>
    <w:p w14:paraId="3BBA0EFE" w14:textId="3DDF93E8" w:rsidR="00572404" w:rsidRDefault="007D5B80" w:rsidP="00A83197">
      <w:pPr>
        <w:ind w:right="-1573"/>
        <w:jc w:val="both"/>
        <w:textAlignment w:val="baseline"/>
        <w:rPr>
          <w:rFonts w:eastAsia="Tahoma"/>
          <w:b/>
          <w:color w:val="000000"/>
          <w:spacing w:val="-3"/>
          <w:sz w:val="24"/>
          <w:szCs w:val="24"/>
          <w:lang w:val="it-IT"/>
        </w:rPr>
      </w:pPr>
      <w:r w:rsidRPr="004D2198">
        <w:rPr>
          <w:rFonts w:eastAsia="Tahoma"/>
          <w:b/>
          <w:color w:val="000000"/>
          <w:spacing w:val="-3"/>
          <w:sz w:val="24"/>
          <w:szCs w:val="24"/>
          <w:lang w:val="it-IT"/>
        </w:rPr>
        <w:t>RITENUTO:</w:t>
      </w:r>
    </w:p>
    <w:p w14:paraId="453A06EB" w14:textId="77777777" w:rsidR="00572404" w:rsidRPr="004D2198" w:rsidRDefault="00572404" w:rsidP="00A83197">
      <w:pPr>
        <w:ind w:right="-1573"/>
        <w:jc w:val="both"/>
        <w:textAlignment w:val="baseline"/>
        <w:rPr>
          <w:rFonts w:eastAsia="Tahoma"/>
          <w:b/>
          <w:color w:val="000000"/>
          <w:spacing w:val="-3"/>
          <w:sz w:val="24"/>
          <w:szCs w:val="24"/>
          <w:lang w:val="it-IT"/>
        </w:rPr>
      </w:pPr>
    </w:p>
    <w:p w14:paraId="48687316" w14:textId="26B937E3" w:rsidR="00D356F2" w:rsidRDefault="007D5B80" w:rsidP="00A83197">
      <w:pPr>
        <w:numPr>
          <w:ilvl w:val="0"/>
          <w:numId w:val="1"/>
        </w:numPr>
        <w:ind w:right="-1573"/>
        <w:jc w:val="both"/>
        <w:textAlignment w:val="baseline"/>
        <w:rPr>
          <w:rFonts w:eastAsia="Tahoma"/>
          <w:color w:val="000000"/>
          <w:sz w:val="24"/>
          <w:szCs w:val="24"/>
          <w:lang w:val="it-IT"/>
        </w:rPr>
      </w:pPr>
      <w:r w:rsidRPr="004D2198">
        <w:rPr>
          <w:rFonts w:eastAsia="Tahoma"/>
          <w:color w:val="000000"/>
          <w:sz w:val="24"/>
          <w:szCs w:val="24"/>
          <w:lang w:val="it-IT"/>
        </w:rPr>
        <w:t xml:space="preserve">Che ANCI </w:t>
      </w:r>
      <w:r w:rsidRPr="004D2198">
        <w:rPr>
          <w:rFonts w:eastAsia="Tahoma"/>
          <w:b/>
          <w:color w:val="000000"/>
          <w:sz w:val="24"/>
          <w:szCs w:val="24"/>
          <w:u w:val="single"/>
          <w:lang w:val="it-IT"/>
        </w:rPr>
        <w:t>doveva</w:t>
      </w:r>
      <w:r w:rsidRPr="004D2198">
        <w:rPr>
          <w:rFonts w:eastAsia="Tahoma"/>
          <w:b/>
          <w:color w:val="000000"/>
          <w:sz w:val="24"/>
          <w:szCs w:val="24"/>
          <w:lang w:val="it-IT"/>
        </w:rPr>
        <w:t xml:space="preserve"> e deve </w:t>
      </w:r>
      <w:r w:rsidRPr="004D2198">
        <w:rPr>
          <w:rFonts w:eastAsia="Tahoma"/>
          <w:color w:val="000000"/>
          <w:sz w:val="24"/>
          <w:szCs w:val="24"/>
          <w:lang w:val="it-IT"/>
        </w:rPr>
        <w:t>salvaguardare tutti i comuni e ribadire che il fondo da 8,5 miliardi era stato destinato indistintamente a tutti i comuni facendo osservare che un decreto (fonte di secondo grado) non può modificare la legge (che è fonte di primo grado);</w:t>
      </w:r>
    </w:p>
    <w:p w14:paraId="49E56297" w14:textId="77777777" w:rsidR="00572404" w:rsidRPr="004D2198" w:rsidRDefault="00572404" w:rsidP="00572404">
      <w:pPr>
        <w:tabs>
          <w:tab w:val="left" w:pos="360"/>
        </w:tabs>
        <w:ind w:right="-1573"/>
        <w:jc w:val="both"/>
        <w:textAlignment w:val="baseline"/>
        <w:rPr>
          <w:rFonts w:eastAsia="Tahoma"/>
          <w:color w:val="000000"/>
          <w:sz w:val="24"/>
          <w:szCs w:val="24"/>
          <w:lang w:val="it-IT"/>
        </w:rPr>
      </w:pPr>
    </w:p>
    <w:p w14:paraId="6A13EDF4" w14:textId="00041214" w:rsidR="00D356F2" w:rsidRDefault="007D5B80" w:rsidP="00A83197">
      <w:pPr>
        <w:ind w:right="-1573"/>
        <w:jc w:val="both"/>
        <w:textAlignment w:val="baseline"/>
        <w:rPr>
          <w:rFonts w:eastAsia="Tahoma"/>
          <w:b/>
          <w:color w:val="000000"/>
          <w:spacing w:val="-2"/>
          <w:sz w:val="24"/>
          <w:szCs w:val="24"/>
          <w:lang w:val="it-IT"/>
        </w:rPr>
      </w:pPr>
      <w:r w:rsidRPr="004D2198">
        <w:rPr>
          <w:rFonts w:eastAsia="Tahoma"/>
          <w:b/>
          <w:color w:val="000000"/>
          <w:spacing w:val="-2"/>
          <w:sz w:val="24"/>
          <w:szCs w:val="24"/>
          <w:lang w:val="it-IT"/>
        </w:rPr>
        <w:t>CONSIDERATO:</w:t>
      </w:r>
    </w:p>
    <w:p w14:paraId="373626DD" w14:textId="77777777" w:rsidR="00572404" w:rsidRPr="004D2198" w:rsidRDefault="00572404" w:rsidP="00A83197">
      <w:pPr>
        <w:ind w:right="-1573"/>
        <w:jc w:val="both"/>
        <w:textAlignment w:val="baseline"/>
        <w:rPr>
          <w:rFonts w:eastAsia="Tahoma"/>
          <w:b/>
          <w:color w:val="000000"/>
          <w:spacing w:val="-2"/>
          <w:sz w:val="24"/>
          <w:szCs w:val="24"/>
          <w:lang w:val="it-IT"/>
        </w:rPr>
      </w:pPr>
    </w:p>
    <w:p w14:paraId="199C971D" w14:textId="060E337D" w:rsidR="00D356F2" w:rsidRPr="004D2198" w:rsidRDefault="007D5B80" w:rsidP="00A83197">
      <w:pPr>
        <w:tabs>
          <w:tab w:val="right" w:pos="9923"/>
        </w:tabs>
        <w:ind w:right="-1573"/>
        <w:jc w:val="both"/>
        <w:textAlignment w:val="baseline"/>
        <w:rPr>
          <w:rFonts w:eastAsia="Tahoma"/>
          <w:color w:val="000000"/>
          <w:sz w:val="24"/>
          <w:szCs w:val="24"/>
          <w:lang w:val="it-IT"/>
        </w:rPr>
      </w:pPr>
      <w:r w:rsidRPr="004D2198">
        <w:rPr>
          <w:rFonts w:eastAsia="Tahoma"/>
          <w:color w:val="000000"/>
          <w:sz w:val="24"/>
          <w:szCs w:val="24"/>
          <w:lang w:val="it-IT"/>
        </w:rPr>
        <w:t>-</w:t>
      </w:r>
      <w:r w:rsidR="00990771" w:rsidRPr="004D2198">
        <w:rPr>
          <w:rFonts w:eastAsia="Tahoma"/>
          <w:color w:val="000000"/>
          <w:sz w:val="24"/>
          <w:szCs w:val="24"/>
          <w:lang w:val="it-IT"/>
        </w:rPr>
        <w:t xml:space="preserve"> </w:t>
      </w:r>
      <w:r w:rsidRPr="004D2198">
        <w:rPr>
          <w:rFonts w:eastAsia="Tahoma"/>
          <w:color w:val="000000"/>
          <w:sz w:val="24"/>
          <w:szCs w:val="24"/>
          <w:lang w:val="it-IT"/>
        </w:rPr>
        <w:t>Che da una prima analisi, pur comprendendo le dimensioni dei comuni all'interno delle regioni, vi</w:t>
      </w:r>
      <w:r w:rsidR="00A83197" w:rsidRPr="004D2198">
        <w:rPr>
          <w:rFonts w:eastAsia="Tahoma"/>
          <w:color w:val="000000"/>
          <w:sz w:val="24"/>
          <w:szCs w:val="24"/>
          <w:lang w:val="it-IT"/>
        </w:rPr>
        <w:t xml:space="preserve"> </w:t>
      </w:r>
      <w:r w:rsidRPr="004D2198">
        <w:rPr>
          <w:rFonts w:eastAsia="Tahoma"/>
          <w:color w:val="000000"/>
          <w:sz w:val="24"/>
          <w:szCs w:val="24"/>
          <w:lang w:val="it-IT"/>
        </w:rPr>
        <w:t>sono</w:t>
      </w:r>
    </w:p>
    <w:p w14:paraId="275DF579" w14:textId="1D5B506A" w:rsidR="00D356F2" w:rsidRPr="004D2198" w:rsidRDefault="007D5B80" w:rsidP="00A83197">
      <w:pPr>
        <w:ind w:right="-1573"/>
        <w:jc w:val="both"/>
        <w:textAlignment w:val="baseline"/>
        <w:rPr>
          <w:rFonts w:eastAsia="Tahoma"/>
          <w:color w:val="000000"/>
          <w:spacing w:val="10"/>
          <w:sz w:val="24"/>
          <w:szCs w:val="24"/>
          <w:lang w:val="it-IT"/>
        </w:rPr>
      </w:pPr>
      <w:r w:rsidRPr="004D2198">
        <w:rPr>
          <w:rFonts w:eastAsia="Tahoma"/>
          <w:color w:val="000000"/>
          <w:spacing w:val="10"/>
          <w:sz w:val="24"/>
          <w:szCs w:val="24"/>
          <w:lang w:val="it-IT"/>
        </w:rPr>
        <w:t>notevoli disparità in ambito territoriale tra le stesse regioni, con una ricaduta tale che "gli emarginati" rimarranno sempre più emarginati ed i privilegiati sempre più privilegiati, quasi ad avvallare il famoso spopolamento da una parte e la congestione dall'altra;</w:t>
      </w:r>
    </w:p>
    <w:p w14:paraId="5328A469" w14:textId="77777777" w:rsidR="00990771" w:rsidRPr="004D2198" w:rsidRDefault="00990771" w:rsidP="00A83197">
      <w:pPr>
        <w:ind w:right="-1573"/>
        <w:jc w:val="both"/>
        <w:textAlignment w:val="baseline"/>
        <w:rPr>
          <w:rFonts w:eastAsia="Tahoma"/>
          <w:color w:val="000000"/>
          <w:spacing w:val="10"/>
          <w:sz w:val="24"/>
          <w:szCs w:val="24"/>
          <w:lang w:val="it-IT"/>
        </w:rPr>
      </w:pPr>
    </w:p>
    <w:p w14:paraId="02E4E55A" w14:textId="4450638E" w:rsidR="00D356F2" w:rsidRPr="004D2198" w:rsidRDefault="007D5B80" w:rsidP="00A83197">
      <w:pPr>
        <w:tabs>
          <w:tab w:val="left" w:pos="142"/>
        </w:tabs>
        <w:ind w:right="-1573"/>
        <w:jc w:val="both"/>
        <w:textAlignment w:val="baseline"/>
        <w:rPr>
          <w:rFonts w:eastAsia="Verdana"/>
          <w:color w:val="000000"/>
          <w:spacing w:val="4"/>
          <w:sz w:val="24"/>
          <w:szCs w:val="24"/>
          <w:lang w:val="it-IT"/>
        </w:rPr>
      </w:pPr>
      <w:r w:rsidRPr="004D2198">
        <w:rPr>
          <w:rFonts w:eastAsia="Verdana"/>
          <w:color w:val="000000"/>
          <w:spacing w:val="4"/>
          <w:sz w:val="24"/>
          <w:szCs w:val="24"/>
          <w:lang w:val="it-IT"/>
        </w:rPr>
        <w:t>-</w:t>
      </w:r>
      <w:r w:rsidRPr="004D2198">
        <w:rPr>
          <w:rFonts w:eastAsia="Verdana"/>
          <w:color w:val="000000"/>
          <w:spacing w:val="4"/>
          <w:sz w:val="24"/>
          <w:szCs w:val="24"/>
          <w:lang w:val="it-IT"/>
        </w:rPr>
        <w:tab/>
        <w:t>Che nei criteri di valutazione non è considerato l'indicatore di spopolamento;</w:t>
      </w:r>
    </w:p>
    <w:p w14:paraId="5B08125B" w14:textId="77777777" w:rsidR="009E1439" w:rsidRPr="004D2198" w:rsidRDefault="009E1439" w:rsidP="00A83197">
      <w:pPr>
        <w:tabs>
          <w:tab w:val="left" w:pos="142"/>
        </w:tabs>
        <w:ind w:right="-1573"/>
        <w:jc w:val="both"/>
        <w:textAlignment w:val="baseline"/>
        <w:rPr>
          <w:rFonts w:eastAsia="Verdana"/>
          <w:color w:val="000000"/>
          <w:spacing w:val="4"/>
          <w:sz w:val="24"/>
          <w:szCs w:val="24"/>
          <w:lang w:val="it-IT"/>
        </w:rPr>
      </w:pPr>
    </w:p>
    <w:p w14:paraId="223F6BD0" w14:textId="7EE3C46A" w:rsidR="00D356F2" w:rsidRPr="004D2198" w:rsidRDefault="007D5B80" w:rsidP="00A83197">
      <w:pPr>
        <w:tabs>
          <w:tab w:val="left" w:pos="142"/>
        </w:tabs>
        <w:ind w:right="-1573"/>
        <w:jc w:val="both"/>
        <w:textAlignment w:val="baseline"/>
        <w:rPr>
          <w:rFonts w:eastAsia="Verdana"/>
          <w:color w:val="000000"/>
          <w:spacing w:val="-6"/>
          <w:sz w:val="24"/>
          <w:szCs w:val="24"/>
          <w:lang w:val="it-IT"/>
        </w:rPr>
      </w:pPr>
      <w:r w:rsidRPr="004D2198">
        <w:rPr>
          <w:rFonts w:eastAsia="Verdana"/>
          <w:color w:val="000000"/>
          <w:spacing w:val="-6"/>
          <w:sz w:val="24"/>
          <w:szCs w:val="24"/>
          <w:lang w:val="it-IT"/>
        </w:rPr>
        <w:t>-</w:t>
      </w:r>
      <w:r w:rsidRPr="004D2198">
        <w:rPr>
          <w:rFonts w:eastAsia="Verdana"/>
          <w:color w:val="000000"/>
          <w:spacing w:val="-6"/>
          <w:sz w:val="24"/>
          <w:szCs w:val="24"/>
          <w:lang w:val="it-IT"/>
        </w:rPr>
        <w:tab/>
        <w:t>Che avvallando quanto sopra, considerando che tutta la platea dei beneficiari presenti il proprio bando, emerge quanto segue alle nostre 20 regioni in ordine di beneficio economico complessivo:</w:t>
      </w:r>
    </w:p>
    <w:p w14:paraId="02F32147" w14:textId="77777777" w:rsidR="009E1439" w:rsidRPr="004D2198" w:rsidRDefault="009E1439" w:rsidP="00A83197">
      <w:pPr>
        <w:tabs>
          <w:tab w:val="left" w:pos="142"/>
        </w:tabs>
        <w:ind w:right="-1573"/>
        <w:jc w:val="both"/>
        <w:textAlignment w:val="baseline"/>
        <w:rPr>
          <w:rFonts w:eastAsia="Verdana"/>
          <w:color w:val="000000"/>
          <w:spacing w:val="-6"/>
          <w:sz w:val="24"/>
          <w:szCs w:val="24"/>
          <w:lang w:val="it-IT"/>
        </w:rPr>
      </w:pPr>
    </w:p>
    <w:tbl>
      <w:tblPr>
        <w:tblW w:w="0" w:type="auto"/>
        <w:tblInd w:w="48" w:type="dxa"/>
        <w:tblLayout w:type="fixed"/>
        <w:tblCellMar>
          <w:left w:w="0" w:type="dxa"/>
          <w:right w:w="0" w:type="dxa"/>
        </w:tblCellMar>
        <w:tblLook w:val="04A0" w:firstRow="1" w:lastRow="0" w:firstColumn="1" w:lastColumn="0" w:noHBand="0" w:noVBand="1"/>
      </w:tblPr>
      <w:tblGrid>
        <w:gridCol w:w="2141"/>
        <w:gridCol w:w="701"/>
        <w:gridCol w:w="859"/>
        <w:gridCol w:w="849"/>
        <w:gridCol w:w="701"/>
        <w:gridCol w:w="859"/>
        <w:gridCol w:w="860"/>
        <w:gridCol w:w="792"/>
        <w:gridCol w:w="897"/>
        <w:gridCol w:w="1220"/>
      </w:tblGrid>
      <w:tr w:rsidR="00D356F2" w:rsidRPr="00C062D3" w14:paraId="4DD0C229" w14:textId="77777777">
        <w:trPr>
          <w:trHeight w:hRule="exact" w:val="326"/>
        </w:trPr>
        <w:tc>
          <w:tcPr>
            <w:tcW w:w="2141" w:type="dxa"/>
            <w:vMerge w:val="restart"/>
            <w:tcBorders>
              <w:top w:val="single" w:sz="5" w:space="0" w:color="000000"/>
              <w:left w:val="single" w:sz="5" w:space="0" w:color="000000"/>
              <w:bottom w:val="single" w:sz="0" w:space="0" w:color="000000"/>
              <w:right w:val="single" w:sz="5" w:space="0" w:color="000000"/>
            </w:tcBorders>
            <w:vAlign w:val="center"/>
          </w:tcPr>
          <w:p w14:paraId="7617D44B" w14:textId="4235178C" w:rsidR="00D356F2" w:rsidRPr="00C062D3" w:rsidRDefault="00C062D3" w:rsidP="00A83197">
            <w:pPr>
              <w:ind w:right="-1573"/>
              <w:jc w:val="both"/>
              <w:textAlignment w:val="baseline"/>
              <w:rPr>
                <w:rFonts w:eastAsia="Verdana"/>
                <w:color w:val="000000"/>
                <w:sz w:val="20"/>
                <w:szCs w:val="20"/>
                <w:lang w:val="it-IT"/>
              </w:rPr>
            </w:pPr>
            <w:r>
              <w:rPr>
                <w:rFonts w:eastAsia="Verdana"/>
                <w:color w:val="000000"/>
                <w:sz w:val="20"/>
                <w:szCs w:val="20"/>
                <w:lang w:val="it-IT"/>
              </w:rPr>
              <w:t xml:space="preserve">        </w:t>
            </w:r>
            <w:r w:rsidR="007D5B80" w:rsidRPr="00C062D3">
              <w:rPr>
                <w:rFonts w:eastAsia="Verdana"/>
                <w:color w:val="000000"/>
                <w:sz w:val="20"/>
                <w:szCs w:val="20"/>
                <w:lang w:val="it-IT"/>
              </w:rPr>
              <w:t>COMUNI</w:t>
            </w:r>
          </w:p>
        </w:tc>
        <w:tc>
          <w:tcPr>
            <w:tcW w:w="701" w:type="dxa"/>
            <w:tcBorders>
              <w:top w:val="single" w:sz="5" w:space="0" w:color="000000"/>
              <w:left w:val="single" w:sz="5" w:space="0" w:color="000000"/>
              <w:bottom w:val="single" w:sz="5" w:space="0" w:color="000000"/>
              <w:right w:val="single" w:sz="5" w:space="0" w:color="000000"/>
            </w:tcBorders>
          </w:tcPr>
          <w:p w14:paraId="0B3827E7"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 xml:space="preserve"> </w:t>
            </w:r>
          </w:p>
        </w:tc>
        <w:tc>
          <w:tcPr>
            <w:tcW w:w="2409" w:type="dxa"/>
            <w:gridSpan w:val="3"/>
            <w:tcBorders>
              <w:top w:val="single" w:sz="5" w:space="0" w:color="000000"/>
              <w:left w:val="single" w:sz="5" w:space="0" w:color="000000"/>
              <w:bottom w:val="single" w:sz="5" w:space="0" w:color="000000"/>
              <w:right w:val="single" w:sz="5" w:space="0" w:color="000000"/>
            </w:tcBorders>
            <w:vAlign w:val="center"/>
          </w:tcPr>
          <w:p w14:paraId="045F76B4" w14:textId="796BDF9A" w:rsidR="00D356F2" w:rsidRPr="00C062D3" w:rsidRDefault="00C062D3" w:rsidP="00A83197">
            <w:pPr>
              <w:ind w:right="-1573"/>
              <w:jc w:val="both"/>
              <w:textAlignment w:val="baseline"/>
              <w:rPr>
                <w:rFonts w:eastAsia="Verdana"/>
                <w:color w:val="000000"/>
                <w:sz w:val="20"/>
                <w:szCs w:val="20"/>
                <w:lang w:val="it-IT"/>
              </w:rPr>
            </w:pPr>
            <w:r>
              <w:rPr>
                <w:rFonts w:eastAsia="Verdana"/>
                <w:color w:val="000000"/>
                <w:sz w:val="20"/>
                <w:szCs w:val="20"/>
                <w:lang w:val="it-IT"/>
              </w:rPr>
              <w:t xml:space="preserve">           P</w:t>
            </w:r>
            <w:r w:rsidR="007D5B80" w:rsidRPr="00C062D3">
              <w:rPr>
                <w:rFonts w:eastAsia="Verdana"/>
                <w:color w:val="000000"/>
                <w:sz w:val="20"/>
                <w:szCs w:val="20"/>
                <w:lang w:val="it-IT"/>
              </w:rPr>
              <w:t>opolazione</w:t>
            </w:r>
          </w:p>
        </w:tc>
        <w:tc>
          <w:tcPr>
            <w:tcW w:w="2511" w:type="dxa"/>
            <w:gridSpan w:val="3"/>
            <w:tcBorders>
              <w:top w:val="single" w:sz="5" w:space="0" w:color="000000"/>
              <w:left w:val="single" w:sz="5" w:space="0" w:color="000000"/>
              <w:bottom w:val="single" w:sz="5" w:space="0" w:color="000000"/>
              <w:right w:val="single" w:sz="5" w:space="0" w:color="000000"/>
            </w:tcBorders>
            <w:vAlign w:val="center"/>
          </w:tcPr>
          <w:p w14:paraId="5D598A31" w14:textId="25986D16" w:rsidR="00D356F2" w:rsidRPr="00C062D3" w:rsidRDefault="00C062D3" w:rsidP="00A83197">
            <w:pPr>
              <w:ind w:right="-1573"/>
              <w:jc w:val="both"/>
              <w:textAlignment w:val="baseline"/>
              <w:rPr>
                <w:rFonts w:eastAsia="Verdana"/>
                <w:color w:val="000000"/>
                <w:sz w:val="20"/>
                <w:szCs w:val="20"/>
                <w:lang w:val="it-IT"/>
              </w:rPr>
            </w:pPr>
            <w:r>
              <w:rPr>
                <w:rFonts w:eastAsia="Verdana"/>
                <w:color w:val="000000"/>
                <w:sz w:val="20"/>
                <w:szCs w:val="20"/>
                <w:lang w:val="it-IT"/>
              </w:rPr>
              <w:t xml:space="preserve">               </w:t>
            </w:r>
            <w:r w:rsidR="007D5B80" w:rsidRPr="00C062D3">
              <w:rPr>
                <w:rFonts w:eastAsia="Verdana"/>
                <w:color w:val="000000"/>
                <w:sz w:val="20"/>
                <w:szCs w:val="20"/>
                <w:lang w:val="it-IT"/>
              </w:rPr>
              <w:t>% comuni</w:t>
            </w:r>
          </w:p>
        </w:tc>
        <w:tc>
          <w:tcPr>
            <w:tcW w:w="2117" w:type="dxa"/>
            <w:gridSpan w:val="2"/>
            <w:tcBorders>
              <w:top w:val="single" w:sz="5" w:space="0" w:color="000000"/>
              <w:left w:val="single" w:sz="5" w:space="0" w:color="000000"/>
              <w:bottom w:val="single" w:sz="5" w:space="0" w:color="000000"/>
              <w:right w:val="single" w:sz="5" w:space="0" w:color="000000"/>
            </w:tcBorders>
            <w:vAlign w:val="center"/>
          </w:tcPr>
          <w:p w14:paraId="4F17597C" w14:textId="7A7F6913" w:rsidR="00D356F2" w:rsidRPr="00C062D3" w:rsidRDefault="00C062D3" w:rsidP="00A83197">
            <w:pPr>
              <w:ind w:right="-1573"/>
              <w:jc w:val="both"/>
              <w:textAlignment w:val="baseline"/>
              <w:rPr>
                <w:rFonts w:eastAsia="Verdana"/>
                <w:color w:val="000000"/>
                <w:sz w:val="20"/>
                <w:szCs w:val="20"/>
                <w:lang w:val="it-IT"/>
              </w:rPr>
            </w:pPr>
            <w:r>
              <w:rPr>
                <w:rFonts w:eastAsia="Verdana"/>
                <w:color w:val="000000"/>
                <w:sz w:val="20"/>
                <w:szCs w:val="20"/>
                <w:lang w:val="it-IT"/>
              </w:rPr>
              <w:t xml:space="preserve">    </w:t>
            </w:r>
            <w:r w:rsidR="007D5B80" w:rsidRPr="00C062D3">
              <w:rPr>
                <w:rFonts w:eastAsia="Verdana"/>
                <w:color w:val="000000"/>
                <w:sz w:val="20"/>
                <w:szCs w:val="20"/>
                <w:lang w:val="it-IT"/>
              </w:rPr>
              <w:t>beneficio economico</w:t>
            </w:r>
          </w:p>
        </w:tc>
      </w:tr>
      <w:tr w:rsidR="00D356F2" w:rsidRPr="00C062D3" w14:paraId="7E7055DC" w14:textId="77777777">
        <w:trPr>
          <w:trHeight w:hRule="exact" w:val="317"/>
        </w:trPr>
        <w:tc>
          <w:tcPr>
            <w:tcW w:w="2141" w:type="dxa"/>
            <w:vMerge/>
            <w:tcBorders>
              <w:top w:val="single" w:sz="0" w:space="0" w:color="000000"/>
              <w:left w:val="single" w:sz="5" w:space="0" w:color="000000"/>
              <w:bottom w:val="single" w:sz="5" w:space="0" w:color="000000"/>
              <w:right w:val="single" w:sz="5" w:space="0" w:color="000000"/>
            </w:tcBorders>
            <w:vAlign w:val="center"/>
          </w:tcPr>
          <w:p w14:paraId="5CB5901C" w14:textId="77777777" w:rsidR="00D356F2" w:rsidRPr="00C062D3" w:rsidRDefault="00D356F2" w:rsidP="00A83197">
            <w:pPr>
              <w:ind w:right="-1573"/>
              <w:jc w:val="both"/>
              <w:rPr>
                <w:sz w:val="20"/>
                <w:szCs w:val="20"/>
              </w:rPr>
            </w:pP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3C666D9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TOT</w:t>
            </w:r>
          </w:p>
        </w:tc>
        <w:tc>
          <w:tcPr>
            <w:tcW w:w="2409" w:type="dxa"/>
            <w:gridSpan w:val="3"/>
            <w:tcBorders>
              <w:top w:val="single" w:sz="5" w:space="0" w:color="000000"/>
              <w:left w:val="single" w:sz="5" w:space="0" w:color="000000"/>
              <w:bottom w:val="single" w:sz="5" w:space="0" w:color="000000"/>
              <w:right w:val="single" w:sz="5" w:space="0" w:color="000000"/>
            </w:tcBorders>
            <w:shd w:val="clear" w:color="EDDDD0" w:fill="EDDDD0"/>
            <w:vAlign w:val="center"/>
          </w:tcPr>
          <w:p w14:paraId="4088325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&gt;15.000 &lt;15-50»50</w:t>
            </w:r>
          </w:p>
        </w:tc>
        <w:tc>
          <w:tcPr>
            <w:tcW w:w="2511" w:type="dxa"/>
            <w:gridSpan w:val="3"/>
            <w:tcBorders>
              <w:top w:val="single" w:sz="5" w:space="0" w:color="000000"/>
              <w:left w:val="single" w:sz="5" w:space="0" w:color="000000"/>
              <w:bottom w:val="single" w:sz="5" w:space="0" w:color="000000"/>
              <w:right w:val="single" w:sz="5" w:space="0" w:color="000000"/>
            </w:tcBorders>
            <w:shd w:val="clear" w:color="EDDDD0" w:fill="EDDDD0"/>
            <w:vAlign w:val="center"/>
          </w:tcPr>
          <w:p w14:paraId="44013689"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&gt;15.000 &lt;15-50»50</w:t>
            </w:r>
          </w:p>
        </w:tc>
        <w:tc>
          <w:tcPr>
            <w:tcW w:w="2117" w:type="dxa"/>
            <w:gridSpan w:val="2"/>
            <w:tcBorders>
              <w:top w:val="single" w:sz="5" w:space="0" w:color="000000"/>
              <w:left w:val="single" w:sz="5" w:space="0" w:color="000000"/>
              <w:bottom w:val="single" w:sz="5" w:space="0" w:color="000000"/>
              <w:right w:val="single" w:sz="5" w:space="0" w:color="000000"/>
            </w:tcBorders>
            <w:shd w:val="clear" w:color="EDDDD0" w:fill="EDDDD0"/>
            <w:vAlign w:val="center"/>
          </w:tcPr>
          <w:p w14:paraId="7D95FF4E" w14:textId="77777777" w:rsidR="00D356F2" w:rsidRPr="00C062D3" w:rsidRDefault="007D5B80" w:rsidP="00A83197">
            <w:pPr>
              <w:tabs>
                <w:tab w:val="left" w:pos="1368"/>
              </w:tabs>
              <w:ind w:right="-1573"/>
              <w:jc w:val="both"/>
              <w:textAlignment w:val="baseline"/>
              <w:rPr>
                <w:rFonts w:eastAsia="Verdana"/>
                <w:color w:val="000000"/>
                <w:sz w:val="20"/>
                <w:szCs w:val="20"/>
                <w:lang w:val="it-IT"/>
              </w:rPr>
            </w:pPr>
            <w:r w:rsidRPr="00C062D3">
              <w:rPr>
                <w:rFonts w:eastAsia="Verdana"/>
                <w:color w:val="000000"/>
                <w:sz w:val="20"/>
                <w:szCs w:val="20"/>
                <w:lang w:val="it-IT"/>
              </w:rPr>
              <w:t>&lt;15-50&gt;</w:t>
            </w:r>
            <w:r w:rsidRPr="00C062D3">
              <w:rPr>
                <w:rFonts w:eastAsia="Verdana"/>
                <w:color w:val="000000"/>
                <w:sz w:val="20"/>
                <w:szCs w:val="20"/>
                <w:lang w:val="it-IT"/>
              </w:rPr>
              <w:tab/>
              <w:t>&gt;50</w:t>
            </w:r>
          </w:p>
        </w:tc>
      </w:tr>
      <w:tr w:rsidR="00D356F2" w:rsidRPr="00C062D3" w14:paraId="59BC9B9E" w14:textId="77777777">
        <w:trPr>
          <w:trHeight w:hRule="exact" w:val="312"/>
        </w:trPr>
        <w:tc>
          <w:tcPr>
            <w:tcW w:w="2141" w:type="dxa"/>
            <w:tcBorders>
              <w:top w:val="single" w:sz="5" w:space="0" w:color="000000"/>
              <w:left w:val="single" w:sz="5" w:space="0" w:color="000000"/>
              <w:bottom w:val="single" w:sz="5" w:space="0" w:color="000000"/>
              <w:right w:val="single" w:sz="5" w:space="0" w:color="000000"/>
            </w:tcBorders>
            <w:vAlign w:val="center"/>
          </w:tcPr>
          <w:p w14:paraId="369AC2F2"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CAMPANIA</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6A3598A6"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550</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252E173C"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470</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743E2718"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60</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0F6EBCCE"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20</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264DF2B2"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85,45%</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1764518F"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10,91%</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7E99ABF1"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3,64%</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68664A50"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1607,14</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373DD26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1.231.884,06</w:t>
            </w:r>
          </w:p>
        </w:tc>
      </w:tr>
      <w:tr w:rsidR="00D356F2" w:rsidRPr="00C062D3" w14:paraId="7808B02F" w14:textId="77777777">
        <w:trPr>
          <w:trHeight w:hRule="exact" w:val="307"/>
        </w:trPr>
        <w:tc>
          <w:tcPr>
            <w:tcW w:w="2141" w:type="dxa"/>
            <w:tcBorders>
              <w:top w:val="single" w:sz="5" w:space="0" w:color="000000"/>
              <w:left w:val="single" w:sz="5" w:space="0" w:color="000000"/>
              <w:bottom w:val="single" w:sz="5" w:space="0" w:color="000000"/>
              <w:right w:val="single" w:sz="5" w:space="0" w:color="000000"/>
            </w:tcBorders>
            <w:vAlign w:val="center"/>
          </w:tcPr>
          <w:p w14:paraId="33AAE812"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PUGLIA</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3E95D50E"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257</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151B3DC0"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186</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511CA30D"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56</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52A7FB52"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15</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11614B37"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72,37%</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5C8F28F6"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21,79%</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7B23571B"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5,84%</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15D19CAC"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1500,00</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257441A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923.913,04</w:t>
            </w:r>
          </w:p>
        </w:tc>
      </w:tr>
      <w:tr w:rsidR="00D356F2" w:rsidRPr="00C062D3" w14:paraId="1FCCC453" w14:textId="77777777">
        <w:trPr>
          <w:trHeight w:hRule="exact" w:val="308"/>
        </w:trPr>
        <w:tc>
          <w:tcPr>
            <w:tcW w:w="2141" w:type="dxa"/>
            <w:tcBorders>
              <w:top w:val="single" w:sz="5" w:space="0" w:color="000000"/>
              <w:left w:val="single" w:sz="5" w:space="0" w:color="000000"/>
              <w:bottom w:val="single" w:sz="5" w:space="0" w:color="000000"/>
              <w:right w:val="single" w:sz="5" w:space="0" w:color="000000"/>
            </w:tcBorders>
            <w:vAlign w:val="center"/>
          </w:tcPr>
          <w:p w14:paraId="005C0492"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SICILIA</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65281480"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391</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4DA76CE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325</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2B0AED69"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52</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5D428DCA"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14</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5D466482"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83,12%</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708ABF2B"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13,30%</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15D4BCB3"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3,58%</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1D57DE0B"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1392,86</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4EEE1C9E"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862.318,84</w:t>
            </w:r>
          </w:p>
        </w:tc>
      </w:tr>
      <w:tr w:rsidR="00D356F2" w:rsidRPr="00C062D3" w14:paraId="2BD70614" w14:textId="77777777">
        <w:trPr>
          <w:trHeight w:hRule="exact" w:val="312"/>
        </w:trPr>
        <w:tc>
          <w:tcPr>
            <w:tcW w:w="2141" w:type="dxa"/>
            <w:tcBorders>
              <w:top w:val="single" w:sz="5" w:space="0" w:color="000000"/>
              <w:left w:val="single" w:sz="5" w:space="0" w:color="000000"/>
              <w:bottom w:val="single" w:sz="5" w:space="0" w:color="000000"/>
              <w:right w:val="single" w:sz="5" w:space="0" w:color="000000"/>
            </w:tcBorders>
            <w:vAlign w:val="center"/>
          </w:tcPr>
          <w:p w14:paraId="0D945F59"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EMILIA-ROMAGNA</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101A9FD8"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328</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6872D205"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275</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17EFFEA2"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40</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6D084725"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13</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719E3C6B"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83,84%</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5E80B6F3"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12,20%</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0AF77FA4"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3,96%</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53E8779D"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1071,43</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1841B55A"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800.724,64</w:t>
            </w:r>
          </w:p>
        </w:tc>
      </w:tr>
      <w:tr w:rsidR="00D356F2" w:rsidRPr="00C062D3" w14:paraId="244CC4F7" w14:textId="77777777">
        <w:trPr>
          <w:trHeight w:hRule="exact" w:val="307"/>
        </w:trPr>
        <w:tc>
          <w:tcPr>
            <w:tcW w:w="2141" w:type="dxa"/>
            <w:tcBorders>
              <w:top w:val="single" w:sz="5" w:space="0" w:color="000000"/>
              <w:left w:val="single" w:sz="5" w:space="0" w:color="000000"/>
              <w:bottom w:val="single" w:sz="5" w:space="0" w:color="000000"/>
              <w:right w:val="single" w:sz="5" w:space="0" w:color="000000"/>
            </w:tcBorders>
            <w:vAlign w:val="center"/>
          </w:tcPr>
          <w:p w14:paraId="7310F292"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TOSCANA</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6C36CBEA"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273</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0D39BA09"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218</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7AA29FA4"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42</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4BD35582"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13</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05842AAE"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79,85%</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3A660F81"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15,38%</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786DADD6"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4,76%</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22B2F31D"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1125,00</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4625697D"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800.724,64</w:t>
            </w:r>
          </w:p>
        </w:tc>
      </w:tr>
      <w:tr w:rsidR="00D356F2" w:rsidRPr="00C062D3" w14:paraId="0504AAF9" w14:textId="77777777">
        <w:trPr>
          <w:trHeight w:hRule="exact" w:val="312"/>
        </w:trPr>
        <w:tc>
          <w:tcPr>
            <w:tcW w:w="2141" w:type="dxa"/>
            <w:tcBorders>
              <w:top w:val="single" w:sz="5" w:space="0" w:color="000000"/>
              <w:left w:val="single" w:sz="5" w:space="0" w:color="000000"/>
              <w:bottom w:val="single" w:sz="5" w:space="0" w:color="000000"/>
              <w:right w:val="single" w:sz="5" w:space="0" w:color="000000"/>
            </w:tcBorders>
            <w:vAlign w:val="center"/>
          </w:tcPr>
          <w:p w14:paraId="302D086E"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lastRenderedPageBreak/>
              <w:t>LOMBARDIA</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4AA92F7D"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1506</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578FABD8"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1406</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3DC06AB7"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89</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19CAC1E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11</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127C8E96"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93,36%</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4F76CCA9"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5,91%</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1B9643C4"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0,73%</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6EB27DE8"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2383,93</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509526F7"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677.536,23</w:t>
            </w:r>
          </w:p>
        </w:tc>
      </w:tr>
      <w:tr w:rsidR="00D356F2" w:rsidRPr="00C062D3" w14:paraId="57C1CAEA" w14:textId="77777777">
        <w:trPr>
          <w:trHeight w:hRule="exact" w:val="307"/>
        </w:trPr>
        <w:tc>
          <w:tcPr>
            <w:tcW w:w="2141" w:type="dxa"/>
            <w:tcBorders>
              <w:top w:val="single" w:sz="5" w:space="0" w:color="000000"/>
              <w:left w:val="single" w:sz="5" w:space="0" w:color="000000"/>
              <w:bottom w:val="single" w:sz="5" w:space="0" w:color="000000"/>
              <w:right w:val="single" w:sz="5" w:space="0" w:color="000000"/>
            </w:tcBorders>
            <w:vAlign w:val="center"/>
          </w:tcPr>
          <w:p w14:paraId="1F1FD2B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LAZIO</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22E4BD62"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378</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3C4223D5"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328</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506563F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40</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5CB7EBEA"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10</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16E26845"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86,77%</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06C6E700"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10,58%</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1798ACDD"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2,65%</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572C6729"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1071,43</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5D7E77AB"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615.942,03</w:t>
            </w:r>
          </w:p>
        </w:tc>
      </w:tr>
      <w:tr w:rsidR="00D356F2" w:rsidRPr="00C062D3" w14:paraId="5CA271C5" w14:textId="77777777">
        <w:trPr>
          <w:trHeight w:hRule="exact" w:val="307"/>
        </w:trPr>
        <w:tc>
          <w:tcPr>
            <w:tcW w:w="2141" w:type="dxa"/>
            <w:tcBorders>
              <w:top w:val="single" w:sz="5" w:space="0" w:color="000000"/>
              <w:left w:val="single" w:sz="5" w:space="0" w:color="000000"/>
              <w:bottom w:val="single" w:sz="5" w:space="0" w:color="000000"/>
              <w:right w:val="single" w:sz="5" w:space="0" w:color="000000"/>
            </w:tcBorders>
            <w:vAlign w:val="center"/>
          </w:tcPr>
          <w:p w14:paraId="40924D26"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CALABRIA</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47A671FD"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404</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576FBFD0"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386</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751E84A6"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12</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2ED3B856"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6</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0B53819A"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95,54%</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1D9FB9EE"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2,97%</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13AC8FCB"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1,49%</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5E15184A"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321,43</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6A51BBE7"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369.565,22</w:t>
            </w:r>
          </w:p>
        </w:tc>
      </w:tr>
      <w:tr w:rsidR="00D356F2" w:rsidRPr="00C062D3" w14:paraId="5C4944E6" w14:textId="77777777">
        <w:trPr>
          <w:trHeight w:hRule="exact" w:val="312"/>
        </w:trPr>
        <w:tc>
          <w:tcPr>
            <w:tcW w:w="2141" w:type="dxa"/>
            <w:tcBorders>
              <w:top w:val="single" w:sz="5" w:space="0" w:color="000000"/>
              <w:left w:val="single" w:sz="5" w:space="0" w:color="000000"/>
              <w:bottom w:val="single" w:sz="5" w:space="0" w:color="000000"/>
              <w:right w:val="single" w:sz="5" w:space="0" w:color="000000"/>
            </w:tcBorders>
            <w:vAlign w:val="center"/>
          </w:tcPr>
          <w:p w14:paraId="5EF37F23"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VENETO</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3E61431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563</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3458DB32"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505</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4FDDEC53"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52</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0FBFF9DB"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6</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52E107E5"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89,70%</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1DF8C505"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9,24%</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6BAB08B6"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1,07%</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1B7A1B4A"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1392,86</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3675B263"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369.565,22</w:t>
            </w:r>
          </w:p>
        </w:tc>
      </w:tr>
      <w:tr w:rsidR="00D356F2" w:rsidRPr="00C062D3" w14:paraId="05B6F7BF" w14:textId="77777777">
        <w:trPr>
          <w:trHeight w:hRule="exact" w:val="307"/>
        </w:trPr>
        <w:tc>
          <w:tcPr>
            <w:tcW w:w="2141" w:type="dxa"/>
            <w:tcBorders>
              <w:top w:val="single" w:sz="5" w:space="0" w:color="000000"/>
              <w:left w:val="single" w:sz="5" w:space="0" w:color="000000"/>
              <w:bottom w:val="single" w:sz="5" w:space="0" w:color="000000"/>
              <w:right w:val="single" w:sz="5" w:space="0" w:color="000000"/>
            </w:tcBorders>
            <w:vAlign w:val="center"/>
          </w:tcPr>
          <w:p w14:paraId="01E50998"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ABRUZZO</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4AADBE1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305</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0663840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291</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32CDE0E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9</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1F3AEE1E"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5</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32CDBEB4"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95,41%</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1A19D603"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2,95%</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6C33E3AA"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1,64%</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1DB1E1E7"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241,07</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4C34192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307.971,01</w:t>
            </w:r>
          </w:p>
        </w:tc>
      </w:tr>
      <w:tr w:rsidR="00D356F2" w:rsidRPr="00C062D3" w14:paraId="3999A70C" w14:textId="77777777">
        <w:trPr>
          <w:trHeight w:hRule="exact" w:val="312"/>
        </w:trPr>
        <w:tc>
          <w:tcPr>
            <w:tcW w:w="2141" w:type="dxa"/>
            <w:tcBorders>
              <w:top w:val="single" w:sz="5" w:space="0" w:color="000000"/>
              <w:left w:val="single" w:sz="5" w:space="0" w:color="000000"/>
              <w:bottom w:val="single" w:sz="5" w:space="0" w:color="000000"/>
              <w:right w:val="single" w:sz="5" w:space="0" w:color="000000"/>
            </w:tcBorders>
            <w:vAlign w:val="center"/>
          </w:tcPr>
          <w:p w14:paraId="574AFB6E"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LIGURIA</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729C88C5"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234</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7A37D749"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223</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4B4B171C"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7</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1AC2764D"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4</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31411561"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95,30%</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28DE06ED"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2,99%</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68BC8005"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1,71%</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22883C6D"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187,50</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5F82D7B2"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246.376,81</w:t>
            </w:r>
          </w:p>
        </w:tc>
      </w:tr>
      <w:tr w:rsidR="00D356F2" w:rsidRPr="00C062D3" w14:paraId="2FF286D8" w14:textId="77777777">
        <w:trPr>
          <w:trHeight w:hRule="exact" w:val="312"/>
        </w:trPr>
        <w:tc>
          <w:tcPr>
            <w:tcW w:w="2141" w:type="dxa"/>
            <w:tcBorders>
              <w:top w:val="single" w:sz="5" w:space="0" w:color="000000"/>
              <w:left w:val="single" w:sz="5" w:space="0" w:color="000000"/>
              <w:bottom w:val="single" w:sz="5" w:space="0" w:color="000000"/>
              <w:right w:val="single" w:sz="5" w:space="0" w:color="000000"/>
            </w:tcBorders>
            <w:vAlign w:val="center"/>
          </w:tcPr>
          <w:p w14:paraId="56AA59F7"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PIEMONTE</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604A341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1181</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19BC5A2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1141</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69DA515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36</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776E8C8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4</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67112945"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96,61%</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18693860"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3,05%</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17A47B77"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0,34%</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1C214DBD"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964,29</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44B00667"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246.376,81</w:t>
            </w:r>
          </w:p>
        </w:tc>
      </w:tr>
      <w:tr w:rsidR="00D356F2" w:rsidRPr="00C062D3" w14:paraId="08434511" w14:textId="77777777">
        <w:trPr>
          <w:trHeight w:hRule="exact" w:val="308"/>
        </w:trPr>
        <w:tc>
          <w:tcPr>
            <w:tcW w:w="2141" w:type="dxa"/>
            <w:tcBorders>
              <w:top w:val="single" w:sz="5" w:space="0" w:color="000000"/>
              <w:left w:val="single" w:sz="5" w:space="0" w:color="000000"/>
              <w:bottom w:val="single" w:sz="5" w:space="0" w:color="000000"/>
              <w:right w:val="single" w:sz="5" w:space="0" w:color="000000"/>
            </w:tcBorders>
            <w:vAlign w:val="center"/>
          </w:tcPr>
          <w:p w14:paraId="062BD5C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SARDEGNA</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5AB3F2F3"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377</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447C4A1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361</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6F323654"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12</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745B31A5"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4</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698C6DF7"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95,76%</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4B6393A4"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3,18%</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4623DE88"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1,06%</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691CED15"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321,43</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15C02B2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246.376,81</w:t>
            </w:r>
          </w:p>
        </w:tc>
      </w:tr>
      <w:tr w:rsidR="00D356F2" w:rsidRPr="00C062D3" w14:paraId="6D4C7F9B" w14:textId="77777777">
        <w:trPr>
          <w:trHeight w:hRule="exact" w:val="307"/>
        </w:trPr>
        <w:tc>
          <w:tcPr>
            <w:tcW w:w="2141" w:type="dxa"/>
            <w:tcBorders>
              <w:top w:val="single" w:sz="5" w:space="0" w:color="000000"/>
              <w:left w:val="single" w:sz="5" w:space="0" w:color="000000"/>
              <w:bottom w:val="single" w:sz="5" w:space="0" w:color="000000"/>
              <w:right w:val="single" w:sz="5" w:space="0" w:color="000000"/>
            </w:tcBorders>
            <w:vAlign w:val="center"/>
          </w:tcPr>
          <w:p w14:paraId="17BD59D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FRIULI-VENEZIA-GIULIA</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562D786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215</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29720B8C"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206</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1731CFCE"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6</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6CFDD26C"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607E691A"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95,81%</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6C92EBA0"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2,79%</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5B664984"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1,40%</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7E1F3879"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160,71</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0EC66CE6"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184.782,61</w:t>
            </w:r>
          </w:p>
        </w:tc>
      </w:tr>
      <w:tr w:rsidR="00D356F2" w:rsidRPr="00C062D3" w14:paraId="3C68C6EC" w14:textId="77777777">
        <w:trPr>
          <w:trHeight w:hRule="exact" w:val="312"/>
        </w:trPr>
        <w:tc>
          <w:tcPr>
            <w:tcW w:w="2141" w:type="dxa"/>
            <w:tcBorders>
              <w:top w:val="single" w:sz="5" w:space="0" w:color="000000"/>
              <w:left w:val="single" w:sz="5" w:space="0" w:color="000000"/>
              <w:bottom w:val="single" w:sz="5" w:space="0" w:color="000000"/>
              <w:right w:val="single" w:sz="5" w:space="0" w:color="000000"/>
            </w:tcBorders>
            <w:vAlign w:val="center"/>
          </w:tcPr>
          <w:p w14:paraId="2AC84529"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MARCHE</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6012067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227</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2E8E0102"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205</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18C9690B"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19</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01CF9122"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12FF796E"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90,31%</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6DE22DA7"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8,37%</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18FE5575"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1,32%</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702131A8"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508,93</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447AF729"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184.782,61</w:t>
            </w:r>
          </w:p>
        </w:tc>
      </w:tr>
      <w:tr w:rsidR="00D356F2" w:rsidRPr="00C062D3" w14:paraId="622D3641" w14:textId="77777777">
        <w:trPr>
          <w:trHeight w:hRule="exact" w:val="307"/>
        </w:trPr>
        <w:tc>
          <w:tcPr>
            <w:tcW w:w="2141" w:type="dxa"/>
            <w:tcBorders>
              <w:top w:val="single" w:sz="5" w:space="0" w:color="000000"/>
              <w:left w:val="single" w:sz="5" w:space="0" w:color="000000"/>
              <w:bottom w:val="single" w:sz="5" w:space="0" w:color="000000"/>
              <w:right w:val="single" w:sz="5" w:space="0" w:color="000000"/>
            </w:tcBorders>
            <w:vAlign w:val="center"/>
          </w:tcPr>
          <w:p w14:paraId="1AA41C36"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UMBRIA</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24DAFA3E"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92</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7FBEDFF5"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76</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58A2A620"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13</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72CBF7A8"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15E8E6AA"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82,61%</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22E5BA56"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14,13%</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622A4005"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3,26%</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09E6E44D"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348,21</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79D10156"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184.782,61</w:t>
            </w:r>
          </w:p>
        </w:tc>
      </w:tr>
      <w:tr w:rsidR="00D356F2" w:rsidRPr="00C062D3" w14:paraId="3F607A8D" w14:textId="77777777">
        <w:trPr>
          <w:trHeight w:hRule="exact" w:val="307"/>
        </w:trPr>
        <w:tc>
          <w:tcPr>
            <w:tcW w:w="2141" w:type="dxa"/>
            <w:tcBorders>
              <w:top w:val="single" w:sz="5" w:space="0" w:color="000000"/>
              <w:left w:val="single" w:sz="5" w:space="0" w:color="000000"/>
              <w:bottom w:val="single" w:sz="5" w:space="0" w:color="000000"/>
              <w:right w:val="single" w:sz="5" w:space="0" w:color="000000"/>
            </w:tcBorders>
            <w:vAlign w:val="center"/>
          </w:tcPr>
          <w:p w14:paraId="7B8738B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BASILICATA</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0D98EF20"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131</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3F1A5C4B"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126</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71536F87"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28EA766B"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45CDC1C2"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96,18%</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018F15FC"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2,29%</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694B043D"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1,53%</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7DEE91FE"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80,36</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4463AFEA"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123.188,41</w:t>
            </w:r>
          </w:p>
        </w:tc>
      </w:tr>
      <w:tr w:rsidR="00D356F2" w:rsidRPr="00C062D3" w14:paraId="7CF2E9F8" w14:textId="77777777">
        <w:trPr>
          <w:trHeight w:hRule="exact" w:val="312"/>
        </w:trPr>
        <w:tc>
          <w:tcPr>
            <w:tcW w:w="2141" w:type="dxa"/>
            <w:tcBorders>
              <w:top w:val="single" w:sz="5" w:space="0" w:color="000000"/>
              <w:left w:val="single" w:sz="5" w:space="0" w:color="000000"/>
              <w:bottom w:val="single" w:sz="5" w:space="0" w:color="000000"/>
              <w:right w:val="single" w:sz="5" w:space="0" w:color="000000"/>
            </w:tcBorders>
            <w:vAlign w:val="center"/>
          </w:tcPr>
          <w:p w14:paraId="734A453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TRENTINO ALTO ADIGE</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034D5E1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282</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4A1E6FFE"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272</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0CBB3780"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8</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054CD3EA"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2</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6F6A6423"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96,45%</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5F909264"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2,84%</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484CF3F3"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0,71%</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4B378127"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214,29</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2B6280C6"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123.188,41</w:t>
            </w:r>
          </w:p>
        </w:tc>
      </w:tr>
      <w:tr w:rsidR="00D356F2" w:rsidRPr="00C062D3" w14:paraId="7E00CBFF" w14:textId="77777777">
        <w:trPr>
          <w:trHeight w:hRule="exact" w:val="312"/>
        </w:trPr>
        <w:tc>
          <w:tcPr>
            <w:tcW w:w="2141" w:type="dxa"/>
            <w:tcBorders>
              <w:top w:val="single" w:sz="5" w:space="0" w:color="000000"/>
              <w:left w:val="single" w:sz="5" w:space="0" w:color="000000"/>
              <w:bottom w:val="single" w:sz="5" w:space="0" w:color="000000"/>
              <w:right w:val="single" w:sz="5" w:space="0" w:color="000000"/>
            </w:tcBorders>
            <w:vAlign w:val="center"/>
          </w:tcPr>
          <w:p w14:paraId="0E06B839"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MOLISE</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32D61031"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136</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5937E517"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133</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505C9386"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3</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0A94524D"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0</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7726068C"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97,79%</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08D61A01"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2,21%</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18B056A2"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0,00%</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3FF83628"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80,36</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304263F0"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0,00</w:t>
            </w:r>
          </w:p>
        </w:tc>
      </w:tr>
      <w:tr w:rsidR="00D356F2" w:rsidRPr="00C062D3" w14:paraId="0CE59974" w14:textId="77777777">
        <w:trPr>
          <w:trHeight w:hRule="exact" w:val="327"/>
        </w:trPr>
        <w:tc>
          <w:tcPr>
            <w:tcW w:w="2141" w:type="dxa"/>
            <w:tcBorders>
              <w:top w:val="single" w:sz="5" w:space="0" w:color="000000"/>
              <w:left w:val="single" w:sz="5" w:space="0" w:color="000000"/>
              <w:bottom w:val="single" w:sz="5" w:space="0" w:color="000000"/>
              <w:right w:val="single" w:sz="5" w:space="0" w:color="000000"/>
            </w:tcBorders>
            <w:vAlign w:val="center"/>
          </w:tcPr>
          <w:p w14:paraId="7F9EDF5B"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VALLE D'AOSTA</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0CEBB1A7"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74</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490B166E"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73</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49684DBB"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417ADB9F"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0</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214830B0"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98,65%</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6980A62E"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1,35%</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07740F2D"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0,00%</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0A76EA5F"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26,79</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0F09FAC2"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0,00</w:t>
            </w:r>
          </w:p>
        </w:tc>
      </w:tr>
      <w:tr w:rsidR="00D356F2" w:rsidRPr="00C062D3" w14:paraId="2E69000A" w14:textId="77777777">
        <w:trPr>
          <w:trHeight w:hRule="exact" w:val="374"/>
        </w:trPr>
        <w:tc>
          <w:tcPr>
            <w:tcW w:w="2141" w:type="dxa"/>
            <w:tcBorders>
              <w:top w:val="single" w:sz="5" w:space="0" w:color="000000"/>
              <w:left w:val="none" w:sz="0" w:space="0" w:color="020000"/>
              <w:bottom w:val="none" w:sz="0" w:space="0" w:color="020000"/>
              <w:right w:val="single" w:sz="5" w:space="0" w:color="000000"/>
            </w:tcBorders>
          </w:tcPr>
          <w:p w14:paraId="5F3CBAB9"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 xml:space="preserve"> </w:t>
            </w:r>
          </w:p>
        </w:tc>
        <w:tc>
          <w:tcPr>
            <w:tcW w:w="701" w:type="dxa"/>
            <w:tcBorders>
              <w:top w:val="single" w:sz="5" w:space="0" w:color="000000"/>
              <w:left w:val="single" w:sz="5" w:space="0" w:color="000000"/>
              <w:bottom w:val="single" w:sz="5" w:space="0" w:color="000000"/>
              <w:right w:val="single" w:sz="5" w:space="0" w:color="000000"/>
            </w:tcBorders>
            <w:shd w:val="clear" w:color="DFDDEA" w:fill="DFDDEA"/>
            <w:vAlign w:val="center"/>
          </w:tcPr>
          <w:p w14:paraId="37D44544"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7904</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6572176B"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7206</w:t>
            </w:r>
          </w:p>
        </w:tc>
        <w:tc>
          <w:tcPr>
            <w:tcW w:w="849"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64F95C47"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560</w:t>
            </w:r>
          </w:p>
        </w:tc>
        <w:tc>
          <w:tcPr>
            <w:tcW w:w="701"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4D560C06"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138</w:t>
            </w:r>
          </w:p>
        </w:tc>
        <w:tc>
          <w:tcPr>
            <w:tcW w:w="859" w:type="dxa"/>
            <w:tcBorders>
              <w:top w:val="single" w:sz="5" w:space="0" w:color="000000"/>
              <w:left w:val="single" w:sz="5" w:space="0" w:color="000000"/>
              <w:bottom w:val="single" w:sz="5" w:space="0" w:color="000000"/>
              <w:right w:val="single" w:sz="5" w:space="0" w:color="000000"/>
            </w:tcBorders>
            <w:shd w:val="clear" w:color="F6C4BF" w:fill="F6C4BF"/>
            <w:vAlign w:val="center"/>
          </w:tcPr>
          <w:p w14:paraId="79182229"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90,55%</w:t>
            </w:r>
          </w:p>
        </w:tc>
        <w:tc>
          <w:tcPr>
            <w:tcW w:w="860"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2DE372E3" w14:textId="77777777" w:rsidR="00D356F2" w:rsidRPr="00C062D3" w:rsidRDefault="007D5B80" w:rsidP="00A83197">
            <w:pPr>
              <w:tabs>
                <w:tab w:val="decimal" w:pos="432"/>
              </w:tabs>
              <w:ind w:right="-1573"/>
              <w:jc w:val="both"/>
              <w:textAlignment w:val="baseline"/>
              <w:rPr>
                <w:rFonts w:eastAsia="Verdana"/>
                <w:color w:val="000000"/>
                <w:sz w:val="20"/>
                <w:szCs w:val="20"/>
                <w:lang w:val="it-IT"/>
              </w:rPr>
            </w:pPr>
            <w:r w:rsidRPr="00C062D3">
              <w:rPr>
                <w:rFonts w:eastAsia="Verdana"/>
                <w:color w:val="000000"/>
                <w:sz w:val="20"/>
                <w:szCs w:val="20"/>
                <w:lang w:val="it-IT"/>
              </w:rPr>
              <w:t>7,42%</w:t>
            </w:r>
          </w:p>
        </w:tc>
        <w:tc>
          <w:tcPr>
            <w:tcW w:w="792"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09BB28D6" w14:textId="77777777" w:rsidR="00D356F2" w:rsidRPr="00C062D3" w:rsidRDefault="007D5B80" w:rsidP="00A83197">
            <w:pPr>
              <w:tabs>
                <w:tab w:val="decimal" w:pos="360"/>
              </w:tabs>
              <w:ind w:right="-1573"/>
              <w:jc w:val="both"/>
              <w:textAlignment w:val="baseline"/>
              <w:rPr>
                <w:rFonts w:eastAsia="Verdana"/>
                <w:color w:val="000000"/>
                <w:sz w:val="20"/>
                <w:szCs w:val="20"/>
                <w:lang w:val="it-IT"/>
              </w:rPr>
            </w:pPr>
            <w:r w:rsidRPr="00C062D3">
              <w:rPr>
                <w:rFonts w:eastAsia="Verdana"/>
                <w:color w:val="000000"/>
                <w:sz w:val="20"/>
                <w:szCs w:val="20"/>
                <w:lang w:val="it-IT"/>
              </w:rPr>
              <w:t>2,03%</w:t>
            </w:r>
          </w:p>
        </w:tc>
        <w:tc>
          <w:tcPr>
            <w:tcW w:w="897" w:type="dxa"/>
            <w:tcBorders>
              <w:top w:val="single" w:sz="5" w:space="0" w:color="000000"/>
              <w:left w:val="single" w:sz="5" w:space="0" w:color="000000"/>
              <w:bottom w:val="single" w:sz="5" w:space="0" w:color="000000"/>
              <w:right w:val="single" w:sz="5" w:space="0" w:color="000000"/>
            </w:tcBorders>
            <w:shd w:val="clear" w:color="E9C6D6" w:fill="E9C6D6"/>
            <w:vAlign w:val="center"/>
          </w:tcPr>
          <w:p w14:paraId="6C1A6053" w14:textId="77777777" w:rsidR="00D356F2" w:rsidRPr="00C062D3" w:rsidRDefault="007D5B80" w:rsidP="00A83197">
            <w:pPr>
              <w:tabs>
                <w:tab w:val="decimal" w:pos="576"/>
              </w:tabs>
              <w:ind w:right="-1573"/>
              <w:jc w:val="both"/>
              <w:textAlignment w:val="baseline"/>
              <w:rPr>
                <w:rFonts w:eastAsia="Verdana"/>
                <w:color w:val="000000"/>
                <w:sz w:val="20"/>
                <w:szCs w:val="20"/>
                <w:lang w:val="it-IT"/>
              </w:rPr>
            </w:pPr>
            <w:r w:rsidRPr="00C062D3">
              <w:rPr>
                <w:rFonts w:eastAsia="Verdana"/>
                <w:color w:val="000000"/>
                <w:sz w:val="20"/>
                <w:szCs w:val="20"/>
                <w:lang w:val="it-IT"/>
              </w:rPr>
              <w:t>15000,00</w:t>
            </w:r>
          </w:p>
        </w:tc>
        <w:tc>
          <w:tcPr>
            <w:tcW w:w="1220" w:type="dxa"/>
            <w:tcBorders>
              <w:top w:val="single" w:sz="5" w:space="0" w:color="000000"/>
              <w:left w:val="single" w:sz="5" w:space="0" w:color="000000"/>
              <w:bottom w:val="single" w:sz="5" w:space="0" w:color="000000"/>
              <w:right w:val="single" w:sz="5" w:space="0" w:color="000000"/>
            </w:tcBorders>
            <w:shd w:val="clear" w:color="E7F5CE" w:fill="E7F5CE"/>
            <w:vAlign w:val="center"/>
          </w:tcPr>
          <w:p w14:paraId="4AEE2E0A" w14:textId="77777777" w:rsidR="00D356F2" w:rsidRPr="00C062D3" w:rsidRDefault="007D5B80" w:rsidP="00A83197">
            <w:pPr>
              <w:ind w:right="-1573"/>
              <w:jc w:val="both"/>
              <w:textAlignment w:val="baseline"/>
              <w:rPr>
                <w:rFonts w:eastAsia="Verdana"/>
                <w:color w:val="000000"/>
                <w:sz w:val="20"/>
                <w:szCs w:val="20"/>
                <w:lang w:val="it-IT"/>
              </w:rPr>
            </w:pPr>
            <w:r w:rsidRPr="00C062D3">
              <w:rPr>
                <w:rFonts w:eastAsia="Verdana"/>
                <w:color w:val="000000"/>
                <w:sz w:val="20"/>
                <w:szCs w:val="20"/>
                <w:lang w:val="it-IT"/>
              </w:rPr>
              <w:t>8.500.000,00</w:t>
            </w:r>
          </w:p>
        </w:tc>
      </w:tr>
    </w:tbl>
    <w:p w14:paraId="0D334146" w14:textId="77777777" w:rsidR="00D356F2" w:rsidRPr="004D2198" w:rsidRDefault="00D356F2" w:rsidP="00A83197">
      <w:pPr>
        <w:ind w:right="-1573"/>
        <w:jc w:val="both"/>
        <w:rPr>
          <w:sz w:val="24"/>
          <w:szCs w:val="24"/>
        </w:rPr>
      </w:pPr>
    </w:p>
    <w:p w14:paraId="025BD268" w14:textId="35099AF1" w:rsidR="00D356F2" w:rsidRDefault="007D5B80" w:rsidP="004B1E99">
      <w:pPr>
        <w:tabs>
          <w:tab w:val="left" w:pos="142"/>
        </w:tabs>
        <w:ind w:right="-1573"/>
        <w:jc w:val="both"/>
        <w:textAlignment w:val="baseline"/>
        <w:rPr>
          <w:rFonts w:eastAsia="Verdana"/>
          <w:b/>
          <w:color w:val="000000"/>
          <w:spacing w:val="-1"/>
          <w:sz w:val="24"/>
          <w:szCs w:val="24"/>
          <w:lang w:val="it-IT"/>
        </w:rPr>
      </w:pPr>
      <w:r w:rsidRPr="004D2198">
        <w:rPr>
          <w:rFonts w:eastAsia="Verdana"/>
          <w:color w:val="000000"/>
          <w:spacing w:val="-1"/>
          <w:sz w:val="24"/>
          <w:szCs w:val="24"/>
          <w:lang w:val="it-IT"/>
        </w:rPr>
        <w:t>-</w:t>
      </w:r>
      <w:r w:rsidRPr="004D2198">
        <w:rPr>
          <w:rFonts w:eastAsia="Verdana"/>
          <w:color w:val="000000"/>
          <w:spacing w:val="-1"/>
          <w:sz w:val="24"/>
          <w:szCs w:val="24"/>
          <w:lang w:val="it-IT"/>
        </w:rPr>
        <w:tab/>
        <w:t xml:space="preserve">Che l’esclusione si reitera nel </w:t>
      </w:r>
      <w:r w:rsidRPr="004D2198">
        <w:rPr>
          <w:rFonts w:eastAsia="Verdana"/>
          <w:b/>
          <w:color w:val="000000"/>
          <w:spacing w:val="-1"/>
          <w:sz w:val="24"/>
          <w:szCs w:val="24"/>
          <w:lang w:val="it-IT"/>
        </w:rPr>
        <w:t>PNRR Piano Nazionale di Ripresa e</w:t>
      </w:r>
      <w:r w:rsidR="00990771" w:rsidRPr="004D2198">
        <w:rPr>
          <w:rFonts w:eastAsia="Verdana"/>
          <w:b/>
          <w:color w:val="000000"/>
          <w:spacing w:val="-1"/>
          <w:sz w:val="24"/>
          <w:szCs w:val="24"/>
          <w:lang w:val="it-IT"/>
        </w:rPr>
        <w:t xml:space="preserve"> </w:t>
      </w:r>
      <w:r w:rsidRPr="004D2198">
        <w:rPr>
          <w:rFonts w:eastAsia="Verdana"/>
          <w:b/>
          <w:color w:val="000000"/>
          <w:spacing w:val="-1"/>
          <w:sz w:val="24"/>
          <w:szCs w:val="24"/>
          <w:lang w:val="it-IT"/>
        </w:rPr>
        <w:t>Resili</w:t>
      </w:r>
      <w:r w:rsidR="000F427B" w:rsidRPr="004D2198">
        <w:rPr>
          <w:rFonts w:eastAsia="Verdana"/>
          <w:b/>
          <w:color w:val="000000"/>
          <w:spacing w:val="-1"/>
          <w:sz w:val="24"/>
          <w:szCs w:val="24"/>
          <w:lang w:val="it-IT"/>
        </w:rPr>
        <w:t>e</w:t>
      </w:r>
      <w:r w:rsidRPr="004D2198">
        <w:rPr>
          <w:rFonts w:eastAsia="Verdana"/>
          <w:b/>
          <w:color w:val="000000"/>
          <w:spacing w:val="-1"/>
          <w:sz w:val="24"/>
          <w:szCs w:val="24"/>
          <w:lang w:val="it-IT"/>
        </w:rPr>
        <w:t>nza.</w:t>
      </w:r>
    </w:p>
    <w:p w14:paraId="4C89CC9E" w14:textId="77777777" w:rsidR="004B1E99" w:rsidRPr="004D2198" w:rsidRDefault="004B1E99" w:rsidP="004B1E99">
      <w:pPr>
        <w:tabs>
          <w:tab w:val="left" w:pos="142"/>
        </w:tabs>
        <w:ind w:right="-1573"/>
        <w:jc w:val="both"/>
        <w:textAlignment w:val="baseline"/>
        <w:rPr>
          <w:rFonts w:eastAsia="Verdana"/>
          <w:color w:val="000000"/>
          <w:spacing w:val="-1"/>
          <w:sz w:val="24"/>
          <w:szCs w:val="24"/>
          <w:lang w:val="it-IT"/>
        </w:rPr>
      </w:pPr>
    </w:p>
    <w:p w14:paraId="6510D0C0" w14:textId="5D7BA4A9" w:rsidR="000F427B" w:rsidRDefault="007D5B80" w:rsidP="00A83197">
      <w:pPr>
        <w:ind w:right="-1573"/>
        <w:jc w:val="both"/>
        <w:textAlignment w:val="baseline"/>
        <w:rPr>
          <w:rFonts w:eastAsia="Verdana"/>
          <w:color w:val="000000"/>
          <w:spacing w:val="-3"/>
          <w:sz w:val="24"/>
          <w:szCs w:val="24"/>
          <w:lang w:val="it-IT"/>
        </w:rPr>
      </w:pPr>
      <w:r w:rsidRPr="004D2198">
        <w:rPr>
          <w:rFonts w:eastAsia="Verdana"/>
          <w:color w:val="000000"/>
          <w:spacing w:val="-3"/>
          <w:sz w:val="24"/>
          <w:szCs w:val="24"/>
          <w:lang w:val="it-IT"/>
        </w:rPr>
        <w:t>Tutto ciò premesso</w:t>
      </w:r>
    </w:p>
    <w:p w14:paraId="6B68CA5F" w14:textId="77777777" w:rsidR="004B1E99" w:rsidRPr="004D2198" w:rsidRDefault="004B1E99" w:rsidP="00A83197">
      <w:pPr>
        <w:ind w:right="-1573"/>
        <w:jc w:val="both"/>
        <w:textAlignment w:val="baseline"/>
        <w:rPr>
          <w:rFonts w:eastAsia="Verdana"/>
          <w:color w:val="000000"/>
          <w:spacing w:val="-3"/>
          <w:sz w:val="24"/>
          <w:szCs w:val="24"/>
          <w:lang w:val="it-IT"/>
        </w:rPr>
      </w:pPr>
    </w:p>
    <w:p w14:paraId="02FCD18C" w14:textId="2E289CB1" w:rsidR="007D5B80" w:rsidRDefault="007D5B80" w:rsidP="004B1E99">
      <w:pPr>
        <w:ind w:right="-1573"/>
        <w:jc w:val="center"/>
        <w:textAlignment w:val="baseline"/>
        <w:rPr>
          <w:rFonts w:eastAsia="Verdana"/>
          <w:color w:val="000000"/>
          <w:spacing w:val="-3"/>
          <w:sz w:val="24"/>
          <w:szCs w:val="24"/>
          <w:lang w:val="it-IT"/>
        </w:rPr>
      </w:pPr>
      <w:r w:rsidRPr="004D2198">
        <w:rPr>
          <w:rFonts w:eastAsia="Verdana"/>
          <w:color w:val="000000"/>
          <w:spacing w:val="-3"/>
          <w:sz w:val="24"/>
          <w:szCs w:val="24"/>
          <w:lang w:val="it-IT"/>
        </w:rPr>
        <w:t>IMPEGNA</w:t>
      </w:r>
    </w:p>
    <w:p w14:paraId="671007A4" w14:textId="77777777" w:rsidR="004B1E99" w:rsidRPr="004D2198" w:rsidRDefault="004B1E99" w:rsidP="00A83197">
      <w:pPr>
        <w:ind w:right="-1573"/>
        <w:jc w:val="both"/>
        <w:textAlignment w:val="baseline"/>
        <w:rPr>
          <w:rFonts w:eastAsia="Verdana"/>
          <w:color w:val="000000"/>
          <w:spacing w:val="-3"/>
          <w:sz w:val="24"/>
          <w:szCs w:val="24"/>
          <w:lang w:val="it-IT"/>
        </w:rPr>
      </w:pPr>
    </w:p>
    <w:p w14:paraId="111D7162" w14:textId="6DC4CDF8" w:rsidR="000C36F0" w:rsidRDefault="000F427B" w:rsidP="00A83197">
      <w:pPr>
        <w:ind w:right="-1573"/>
        <w:jc w:val="both"/>
        <w:textAlignment w:val="baseline"/>
        <w:rPr>
          <w:rFonts w:eastAsia="Verdana"/>
          <w:color w:val="000000"/>
          <w:spacing w:val="-3"/>
          <w:sz w:val="24"/>
          <w:szCs w:val="24"/>
          <w:lang w:val="it-IT"/>
        </w:rPr>
      </w:pPr>
      <w:r w:rsidRPr="004D2198">
        <w:rPr>
          <w:rFonts w:eastAsia="Verdana"/>
          <w:color w:val="000000"/>
          <w:spacing w:val="-3"/>
          <w:sz w:val="24"/>
          <w:szCs w:val="24"/>
          <w:lang w:val="it-IT"/>
        </w:rPr>
        <w:t>il Sindaco e la Giunta</w:t>
      </w:r>
      <w:r w:rsidR="000C36F0">
        <w:rPr>
          <w:rFonts w:eastAsia="Verdana"/>
          <w:color w:val="000000"/>
          <w:spacing w:val="-3"/>
          <w:sz w:val="24"/>
          <w:szCs w:val="24"/>
          <w:lang w:val="it-IT"/>
        </w:rPr>
        <w:t xml:space="preserve"> Comunale a farsi parte attiva affinché</w:t>
      </w:r>
      <w:r w:rsidR="00B713A1">
        <w:rPr>
          <w:rFonts w:eastAsia="Verdana"/>
          <w:color w:val="000000"/>
          <w:spacing w:val="-3"/>
          <w:sz w:val="24"/>
          <w:szCs w:val="24"/>
          <w:lang w:val="it-IT"/>
        </w:rPr>
        <w:t xml:space="preserve"> il Governo:</w:t>
      </w:r>
    </w:p>
    <w:p w14:paraId="2FB68EA5" w14:textId="098B17BA" w:rsidR="000C36F0" w:rsidRDefault="000C36F0" w:rsidP="00A83197">
      <w:pPr>
        <w:ind w:right="-1573"/>
        <w:jc w:val="both"/>
        <w:textAlignment w:val="baseline"/>
        <w:rPr>
          <w:rFonts w:eastAsia="Verdana"/>
          <w:color w:val="000000"/>
          <w:spacing w:val="-3"/>
          <w:sz w:val="24"/>
          <w:szCs w:val="24"/>
          <w:lang w:val="it-IT"/>
        </w:rPr>
      </w:pPr>
    </w:p>
    <w:p w14:paraId="3819EE7F" w14:textId="059B9C5F" w:rsidR="000C36F0" w:rsidRDefault="00B713A1" w:rsidP="00B713A1">
      <w:pPr>
        <w:pStyle w:val="Paragrafoelenco"/>
        <w:numPr>
          <w:ilvl w:val="0"/>
          <w:numId w:val="2"/>
        </w:numPr>
        <w:ind w:left="284" w:right="-1573" w:hanging="284"/>
        <w:jc w:val="both"/>
        <w:textAlignment w:val="baseline"/>
        <w:rPr>
          <w:rFonts w:eastAsia="Verdana"/>
          <w:color w:val="000000"/>
          <w:spacing w:val="-3"/>
          <w:sz w:val="24"/>
          <w:szCs w:val="24"/>
          <w:lang w:val="it-IT"/>
        </w:rPr>
      </w:pPr>
      <w:r>
        <w:rPr>
          <w:rFonts w:eastAsia="Verdana"/>
          <w:color w:val="000000"/>
          <w:spacing w:val="-3"/>
          <w:sz w:val="24"/>
          <w:szCs w:val="24"/>
          <w:lang w:val="it-IT"/>
        </w:rPr>
        <w:t xml:space="preserve">Modifichi </w:t>
      </w:r>
      <w:r w:rsidR="000C36F0">
        <w:rPr>
          <w:rFonts w:eastAsia="Verdana"/>
          <w:color w:val="000000"/>
          <w:spacing w:val="-3"/>
          <w:sz w:val="24"/>
          <w:szCs w:val="24"/>
          <w:lang w:val="it-IT"/>
        </w:rPr>
        <w:t>nel rispetto delle volontà del Parlamento il DPCM 21.01.2021 ed estenda a tutti i Comuni la possibilità di ottenere contributi per finanziare gli interventi di rigenerazione urbana;</w:t>
      </w:r>
    </w:p>
    <w:p w14:paraId="67EB7D39" w14:textId="502FF02A" w:rsidR="000C36F0" w:rsidRDefault="000C36F0" w:rsidP="00B713A1">
      <w:pPr>
        <w:pStyle w:val="Paragrafoelenco"/>
        <w:ind w:left="284" w:right="-1573" w:hanging="284"/>
        <w:jc w:val="both"/>
        <w:textAlignment w:val="baseline"/>
        <w:rPr>
          <w:rFonts w:eastAsia="Verdana"/>
          <w:color w:val="000000"/>
          <w:spacing w:val="-3"/>
          <w:sz w:val="24"/>
          <w:szCs w:val="24"/>
          <w:lang w:val="it-IT"/>
        </w:rPr>
      </w:pPr>
    </w:p>
    <w:p w14:paraId="5A1D49C8" w14:textId="18FEBE11" w:rsidR="000C36F0" w:rsidRPr="006B2F87" w:rsidRDefault="000C36F0" w:rsidP="00B713A1">
      <w:pPr>
        <w:pStyle w:val="Paragrafoelenco"/>
        <w:numPr>
          <w:ilvl w:val="0"/>
          <w:numId w:val="2"/>
        </w:numPr>
        <w:ind w:left="284" w:right="-1573" w:hanging="284"/>
        <w:jc w:val="both"/>
        <w:textAlignment w:val="baseline"/>
        <w:rPr>
          <w:rFonts w:eastAsia="Verdana"/>
          <w:b/>
          <w:bCs/>
          <w:color w:val="000000"/>
          <w:spacing w:val="-3"/>
          <w:sz w:val="24"/>
          <w:szCs w:val="24"/>
          <w:lang w:val="it-IT"/>
        </w:rPr>
      </w:pPr>
      <w:r>
        <w:rPr>
          <w:rFonts w:eastAsia="Verdana"/>
          <w:color w:val="000000"/>
          <w:spacing w:val="-3"/>
          <w:sz w:val="24"/>
          <w:szCs w:val="24"/>
          <w:lang w:val="it-IT"/>
        </w:rPr>
        <w:t xml:space="preserve">Non escluda </w:t>
      </w:r>
      <w:r w:rsidR="00B713A1">
        <w:rPr>
          <w:rFonts w:eastAsia="Verdana"/>
          <w:color w:val="000000"/>
          <w:spacing w:val="-3"/>
          <w:sz w:val="24"/>
          <w:szCs w:val="24"/>
          <w:lang w:val="it-IT"/>
        </w:rPr>
        <w:t xml:space="preserve">i Comuni sotto i 15.000 abitanti dai fondi da assegnare in forza del </w:t>
      </w:r>
      <w:r w:rsidR="00B713A1" w:rsidRPr="006B2F87">
        <w:rPr>
          <w:rFonts w:eastAsia="Verdana"/>
          <w:b/>
          <w:bCs/>
          <w:color w:val="000000"/>
          <w:spacing w:val="-3"/>
          <w:sz w:val="24"/>
          <w:szCs w:val="24"/>
          <w:lang w:val="it-IT"/>
        </w:rPr>
        <w:t>PNRR (Piano Nazionale di Ripresa e Resilienza)</w:t>
      </w:r>
      <w:r w:rsidR="006B2F87">
        <w:rPr>
          <w:rFonts w:eastAsia="Verdana"/>
          <w:color w:val="000000"/>
          <w:spacing w:val="-3"/>
          <w:sz w:val="24"/>
          <w:szCs w:val="24"/>
          <w:lang w:val="it-IT"/>
        </w:rPr>
        <w:t>.</w:t>
      </w:r>
    </w:p>
    <w:p w14:paraId="00F78FAB" w14:textId="77777777" w:rsidR="000C36F0" w:rsidRDefault="000C36F0" w:rsidP="00A83197">
      <w:pPr>
        <w:ind w:right="-1573"/>
        <w:jc w:val="both"/>
        <w:textAlignment w:val="baseline"/>
        <w:rPr>
          <w:rFonts w:eastAsia="Verdana"/>
          <w:color w:val="000000"/>
          <w:spacing w:val="-3"/>
          <w:sz w:val="24"/>
          <w:szCs w:val="24"/>
          <w:lang w:val="it-IT"/>
        </w:rPr>
      </w:pPr>
    </w:p>
    <w:p w14:paraId="5F9F1567" w14:textId="77777777" w:rsidR="000C36F0" w:rsidRDefault="000C36F0" w:rsidP="00A83197">
      <w:pPr>
        <w:ind w:right="-1573"/>
        <w:jc w:val="both"/>
        <w:textAlignment w:val="baseline"/>
        <w:rPr>
          <w:rFonts w:eastAsia="Verdana"/>
          <w:color w:val="000000"/>
          <w:spacing w:val="-3"/>
          <w:sz w:val="24"/>
          <w:szCs w:val="24"/>
          <w:lang w:val="it-IT"/>
        </w:rPr>
      </w:pPr>
    </w:p>
    <w:p w14:paraId="65BFD6B6" w14:textId="39372C47" w:rsidR="00990771" w:rsidRPr="004D2198" w:rsidRDefault="000F427B" w:rsidP="00A83197">
      <w:pPr>
        <w:ind w:right="-1573"/>
        <w:jc w:val="both"/>
        <w:textAlignment w:val="baseline"/>
        <w:rPr>
          <w:rFonts w:eastAsia="Verdana"/>
          <w:color w:val="000000"/>
          <w:sz w:val="24"/>
          <w:szCs w:val="24"/>
          <w:lang w:val="it-IT"/>
        </w:rPr>
      </w:pPr>
      <w:r w:rsidRPr="004D2198">
        <w:rPr>
          <w:rFonts w:eastAsia="Verdana"/>
          <w:color w:val="000000"/>
          <w:spacing w:val="-3"/>
          <w:sz w:val="24"/>
          <w:szCs w:val="24"/>
          <w:lang w:val="it-IT"/>
        </w:rPr>
        <w:t xml:space="preserve"> </w:t>
      </w:r>
    </w:p>
    <w:p w14:paraId="33C5A0D3" w14:textId="77777777" w:rsidR="00A83197" w:rsidRPr="004D2198" w:rsidRDefault="00A83197">
      <w:pPr>
        <w:ind w:right="-1573"/>
        <w:jc w:val="both"/>
        <w:rPr>
          <w:rFonts w:eastAsia="Garamond"/>
          <w:color w:val="000000"/>
          <w:sz w:val="24"/>
          <w:szCs w:val="24"/>
          <w:lang w:val="it-IT"/>
        </w:rPr>
      </w:pPr>
    </w:p>
    <w:sectPr w:rsidR="00A83197" w:rsidRPr="004D2198" w:rsidSect="00A83197">
      <w:type w:val="continuous"/>
      <w:pgSz w:w="11902" w:h="16826"/>
      <w:pgMar w:top="709" w:right="2617" w:bottom="550" w:left="9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Courier New">
    <w:charset w:val="00"/>
    <w:pitch w:val="fixed"/>
    <w:family w:val="modern"/>
    <w:panose1 w:val="02020603050405020304"/>
  </w:font>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03309"/>
    <w:multiLevelType w:val="hybridMultilevel"/>
    <w:tmpl w:val="AC5AAB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FF22F01"/>
    <w:multiLevelType w:val="multilevel"/>
    <w:tmpl w:val="DF6814A4"/>
    <w:lvl w:ilvl="0">
      <w:numFmt w:val="bullet"/>
      <w:lvlText w:val="-"/>
      <w:lvlJc w:val="left"/>
      <w:pPr>
        <w:tabs>
          <w:tab w:val="left" w:pos="360"/>
        </w:tabs>
      </w:pPr>
      <w:rPr>
        <w:rFonts w:ascii="Symbol" w:eastAsia="Symbol" w:hAnsi="Symbol"/>
        <w:color w:val="000000"/>
        <w:spacing w:val="9"/>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F2"/>
    <w:rsid w:val="00090F24"/>
    <w:rsid w:val="000C36F0"/>
    <w:rsid w:val="000F427B"/>
    <w:rsid w:val="00150DA2"/>
    <w:rsid w:val="00206AE7"/>
    <w:rsid w:val="00246F66"/>
    <w:rsid w:val="002939D3"/>
    <w:rsid w:val="002E2738"/>
    <w:rsid w:val="0045721C"/>
    <w:rsid w:val="004B1E99"/>
    <w:rsid w:val="004D2198"/>
    <w:rsid w:val="00572404"/>
    <w:rsid w:val="0067139D"/>
    <w:rsid w:val="006B2F87"/>
    <w:rsid w:val="006E3E61"/>
    <w:rsid w:val="007D5B80"/>
    <w:rsid w:val="00990771"/>
    <w:rsid w:val="009E1439"/>
    <w:rsid w:val="00A83197"/>
    <w:rsid w:val="00A94A5B"/>
    <w:rsid w:val="00B713A1"/>
    <w:rsid w:val="00C062D3"/>
    <w:rsid w:val="00CD40BA"/>
    <w:rsid w:val="00D356F2"/>
    <w:rsid w:val="00D86616"/>
    <w:rsid w:val="00F36839"/>
    <w:rsid w:val="00FA3BAD"/>
    <w:rsid w:val="00FD32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F3B7"/>
  <w15:docId w15:val="{FA2FB520-6B1C-4FE3-AA32-EA97449C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90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1252</Words>
  <Characters>7138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 Garavello</dc:creator>
  <cp:lastModifiedBy>Comune Tribano</cp:lastModifiedBy>
  <cp:revision>24</cp:revision>
  <cp:lastPrinted>2021-05-11T07:22:00Z</cp:lastPrinted>
  <dcterms:created xsi:type="dcterms:W3CDTF">2021-05-11T09:27:00Z</dcterms:created>
  <dcterms:modified xsi:type="dcterms:W3CDTF">2021-05-12T11:26:00Z</dcterms:modified>
</cp:coreProperties>
</file>